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0D" w:rsidRPr="00622E0C" w:rsidRDefault="0013470A" w:rsidP="00213654">
      <w:pPr>
        <w:jc w:val="center"/>
        <w:rPr>
          <w:rFonts w:ascii="Times New Roman" w:hAnsi="Times New Roman" w:cs="Times New Roman"/>
          <w:b/>
          <w:sz w:val="28"/>
          <w:szCs w:val="28"/>
        </w:rPr>
      </w:pPr>
      <w:bookmarkStart w:id="0" w:name="_GoBack"/>
      <w:bookmarkEnd w:id="0"/>
      <w:r w:rsidRPr="00622E0C">
        <w:rPr>
          <w:rFonts w:ascii="Times New Roman" w:hAnsi="Times New Roman" w:cs="Times New Roman"/>
          <w:b/>
          <w:sz w:val="28"/>
          <w:szCs w:val="28"/>
        </w:rPr>
        <w:t>ATASKAITA</w:t>
      </w:r>
    </w:p>
    <w:p w:rsidR="00EC7073" w:rsidRPr="00E44315" w:rsidRDefault="00EC7073" w:rsidP="00213654">
      <w:pPr>
        <w:jc w:val="center"/>
        <w:rPr>
          <w:rFonts w:ascii="Times New Roman" w:hAnsi="Times New Roman" w:cs="Times New Roman"/>
          <w:b/>
          <w:sz w:val="24"/>
          <w:szCs w:val="24"/>
        </w:rPr>
      </w:pPr>
    </w:p>
    <w:p w:rsidR="0013470A" w:rsidRPr="00E44315" w:rsidRDefault="002321D6" w:rsidP="00213654">
      <w:pPr>
        <w:jc w:val="center"/>
        <w:rPr>
          <w:rFonts w:ascii="Times New Roman" w:hAnsi="Times New Roman" w:cs="Times New Roman"/>
          <w:b/>
          <w:sz w:val="24"/>
          <w:szCs w:val="24"/>
        </w:rPr>
      </w:pPr>
      <w:r w:rsidRPr="00E44315">
        <w:rPr>
          <w:rFonts w:ascii="Times New Roman" w:hAnsi="Times New Roman" w:cs="Times New Roman"/>
          <w:b/>
          <w:sz w:val="24"/>
          <w:szCs w:val="24"/>
        </w:rPr>
        <w:t>EUROPOS KOMISIJAI APIE EURO[POS PARLAMENTO IR TARYBOS 2008 M. SAUSIO 15 D. DIREKTYVOS 2008/1/EB DĖL TARŠOS INTEGRUOTOS PREVENCIJOS IR KONTROLĖS ĮGYVENDINIMĄ LIETUVOJE 2012-2013 METAIS</w:t>
      </w:r>
    </w:p>
    <w:p w:rsidR="002321D6" w:rsidRPr="00E44315" w:rsidRDefault="002321D6" w:rsidP="00213654">
      <w:pPr>
        <w:rPr>
          <w:rFonts w:ascii="Times New Roman" w:hAnsi="Times New Roman" w:cs="Times New Roman"/>
          <w:b/>
          <w:sz w:val="24"/>
          <w:szCs w:val="24"/>
        </w:rPr>
      </w:pPr>
    </w:p>
    <w:p w:rsidR="002321D6" w:rsidRPr="00E44315" w:rsidRDefault="002321D6" w:rsidP="00213654">
      <w:pPr>
        <w:rPr>
          <w:rFonts w:ascii="Times New Roman" w:hAnsi="Times New Roman" w:cs="Times New Roman"/>
          <w:b/>
          <w:sz w:val="24"/>
          <w:szCs w:val="24"/>
        </w:rPr>
      </w:pPr>
    </w:p>
    <w:p w:rsidR="0013470A" w:rsidRPr="00E44315" w:rsidRDefault="0013470A" w:rsidP="00213654">
      <w:pPr>
        <w:rPr>
          <w:rFonts w:ascii="Times New Roman" w:hAnsi="Times New Roman" w:cs="Times New Roman"/>
          <w:sz w:val="24"/>
          <w:szCs w:val="24"/>
        </w:rPr>
      </w:pPr>
    </w:p>
    <w:tbl>
      <w:tblPr>
        <w:tblStyle w:val="Lentelstinklelis"/>
        <w:tblW w:w="0" w:type="auto"/>
        <w:tblInd w:w="-147" w:type="dxa"/>
        <w:tblLayout w:type="fixed"/>
        <w:tblLook w:val="04A0" w:firstRow="1" w:lastRow="0" w:firstColumn="1" w:lastColumn="0" w:noHBand="0" w:noVBand="1"/>
      </w:tblPr>
      <w:tblGrid>
        <w:gridCol w:w="1276"/>
        <w:gridCol w:w="3741"/>
        <w:gridCol w:w="4758"/>
      </w:tblGrid>
      <w:tr w:rsidR="00156431" w:rsidRPr="00E44315" w:rsidTr="0049617E">
        <w:tc>
          <w:tcPr>
            <w:tcW w:w="1276" w:type="dxa"/>
          </w:tcPr>
          <w:p w:rsidR="00156431" w:rsidRPr="00E44315" w:rsidRDefault="00BA7F7F" w:rsidP="00213654">
            <w:pPr>
              <w:rPr>
                <w:rFonts w:ascii="Times New Roman" w:hAnsi="Times New Roman" w:cs="Times New Roman"/>
                <w:b/>
                <w:sz w:val="24"/>
                <w:szCs w:val="24"/>
              </w:rPr>
            </w:pPr>
            <w:r w:rsidRPr="00E44315">
              <w:rPr>
                <w:rFonts w:ascii="Times New Roman" w:hAnsi="Times New Roman" w:cs="Times New Roman"/>
                <w:b/>
                <w:sz w:val="24"/>
                <w:szCs w:val="24"/>
              </w:rPr>
              <w:t>Klausimo</w:t>
            </w:r>
          </w:p>
          <w:p w:rsidR="00BA7F7F" w:rsidRPr="00E44315" w:rsidRDefault="00BA7F7F" w:rsidP="00213654">
            <w:pPr>
              <w:rPr>
                <w:rFonts w:ascii="Times New Roman" w:hAnsi="Times New Roman" w:cs="Times New Roman"/>
                <w:b/>
                <w:sz w:val="24"/>
                <w:szCs w:val="24"/>
              </w:rPr>
            </w:pPr>
            <w:r w:rsidRPr="00E44315">
              <w:rPr>
                <w:rFonts w:ascii="Times New Roman" w:hAnsi="Times New Roman" w:cs="Times New Roman"/>
                <w:b/>
                <w:sz w:val="24"/>
                <w:szCs w:val="24"/>
              </w:rPr>
              <w:t>Nr.</w:t>
            </w:r>
          </w:p>
        </w:tc>
        <w:tc>
          <w:tcPr>
            <w:tcW w:w="3741" w:type="dxa"/>
          </w:tcPr>
          <w:p w:rsidR="00156431" w:rsidRPr="00E44315" w:rsidRDefault="00BA7F7F" w:rsidP="00213654">
            <w:pPr>
              <w:rPr>
                <w:rFonts w:ascii="Times New Roman" w:hAnsi="Times New Roman" w:cs="Times New Roman"/>
                <w:b/>
                <w:sz w:val="24"/>
                <w:szCs w:val="24"/>
              </w:rPr>
            </w:pPr>
            <w:r w:rsidRPr="00E44315">
              <w:rPr>
                <w:rFonts w:ascii="Times New Roman" w:hAnsi="Times New Roman" w:cs="Times New Roman"/>
                <w:b/>
                <w:sz w:val="24"/>
                <w:szCs w:val="24"/>
              </w:rPr>
              <w:t>Klausimas</w:t>
            </w:r>
          </w:p>
        </w:tc>
        <w:tc>
          <w:tcPr>
            <w:tcW w:w="4758" w:type="dxa"/>
          </w:tcPr>
          <w:p w:rsidR="00156431" w:rsidRPr="00E44315" w:rsidRDefault="00BA7F7F" w:rsidP="00213654">
            <w:pPr>
              <w:rPr>
                <w:rFonts w:ascii="Times New Roman" w:hAnsi="Times New Roman" w:cs="Times New Roman"/>
                <w:b/>
                <w:sz w:val="24"/>
                <w:szCs w:val="24"/>
              </w:rPr>
            </w:pPr>
            <w:r w:rsidRPr="00E44315">
              <w:rPr>
                <w:rFonts w:ascii="Times New Roman" w:hAnsi="Times New Roman" w:cs="Times New Roman"/>
                <w:b/>
                <w:sz w:val="24"/>
                <w:szCs w:val="24"/>
              </w:rPr>
              <w:t>Atsakymas</w:t>
            </w:r>
          </w:p>
        </w:tc>
      </w:tr>
      <w:tr w:rsidR="00D97E14" w:rsidRPr="00E44315" w:rsidTr="0049617E">
        <w:tc>
          <w:tcPr>
            <w:tcW w:w="1276" w:type="dxa"/>
          </w:tcPr>
          <w:p w:rsidR="00156431" w:rsidRPr="00E44315" w:rsidRDefault="00420C02" w:rsidP="00213654">
            <w:pPr>
              <w:jc w:val="both"/>
              <w:rPr>
                <w:rFonts w:ascii="Times New Roman" w:hAnsi="Times New Roman" w:cs="Times New Roman"/>
                <w:sz w:val="24"/>
                <w:szCs w:val="24"/>
              </w:rPr>
            </w:pPr>
            <w:r w:rsidRPr="00E44315">
              <w:rPr>
                <w:rFonts w:ascii="Times New Roman" w:hAnsi="Times New Roman" w:cs="Times New Roman"/>
                <w:sz w:val="24"/>
                <w:szCs w:val="24"/>
              </w:rPr>
              <w:t>1.</w:t>
            </w:r>
          </w:p>
        </w:tc>
        <w:tc>
          <w:tcPr>
            <w:tcW w:w="3741" w:type="dxa"/>
          </w:tcPr>
          <w:p w:rsidR="00C25613" w:rsidRPr="00E44315" w:rsidRDefault="00C25613" w:rsidP="00213654">
            <w:pPr>
              <w:pStyle w:val="prastasiniatinklio"/>
              <w:spacing w:before="0" w:beforeAutospacing="0" w:after="0" w:afterAutospacing="0"/>
              <w:jc w:val="both"/>
            </w:pPr>
            <w:r w:rsidRPr="00E44315">
              <w:t>Ar valstybė narė, įgyvendindam</w:t>
            </w:r>
            <w:r w:rsidR="00D97E14" w:rsidRPr="00E44315">
              <w:t>a</w:t>
            </w:r>
            <w:r w:rsidRPr="00E44315">
              <w:t xml:space="preserve"> Direktyvą 2008/1/EB, patyrė sunkumų dėl darbuotojų trūkumo ar nepakankamų jų gebėjimų? Jei taip, apibūdinkite šiuos sunkumus ir numatomus jų sprendimo būdus, atsižvelgdami į tai, kad bus pradėta taikyti Direktyva 2010/75/ES.</w:t>
            </w:r>
          </w:p>
          <w:p w:rsidR="00156431" w:rsidRPr="00E44315" w:rsidRDefault="00156431" w:rsidP="00213654">
            <w:pPr>
              <w:jc w:val="both"/>
              <w:rPr>
                <w:rFonts w:ascii="Times New Roman" w:hAnsi="Times New Roman" w:cs="Times New Roman"/>
                <w:sz w:val="24"/>
                <w:szCs w:val="24"/>
              </w:rPr>
            </w:pPr>
          </w:p>
        </w:tc>
        <w:tc>
          <w:tcPr>
            <w:tcW w:w="4758" w:type="dxa"/>
          </w:tcPr>
          <w:p w:rsidR="00156431" w:rsidRDefault="0096622A" w:rsidP="00A01F02">
            <w:pPr>
              <w:jc w:val="both"/>
              <w:rPr>
                <w:rFonts w:ascii="Times New Roman" w:hAnsi="Times New Roman" w:cs="Times New Roman"/>
                <w:sz w:val="24"/>
                <w:szCs w:val="24"/>
              </w:rPr>
            </w:pPr>
            <w:r w:rsidRPr="00E44315">
              <w:rPr>
                <w:rFonts w:ascii="Times New Roman" w:hAnsi="Times New Roman" w:cs="Times New Roman"/>
                <w:sz w:val="24"/>
                <w:szCs w:val="24"/>
              </w:rPr>
              <w:t xml:space="preserve">Kai kurie regionų aplinkos apsaugos departamentai (toliau – RAAD), rengiantys TIPK leidimus, susidūrė su darbuotojų trūkumu, ypač kai vienu metu būdavo gaunamos kelios paraiškos leidimams gauti. Žymiai dažniau kildavo sunkumai, susiję su praktiniu Geriausių prieinamų gamybos būdų informacinių dokumentų - GPGB ID (angl. - Best Available Techniques Reference Documents, - BREF) taikymu nustatant išmetamų teršalų ribines vertes ir kitus leidimų reikalavimus. Buvo organizuoti </w:t>
            </w:r>
            <w:r w:rsidR="007B6B4F" w:rsidRPr="00E44315">
              <w:rPr>
                <w:rFonts w:ascii="Times New Roman" w:hAnsi="Times New Roman" w:cs="Times New Roman"/>
                <w:sz w:val="24"/>
                <w:szCs w:val="24"/>
              </w:rPr>
              <w:t>2</w:t>
            </w:r>
            <w:r w:rsidRPr="00E44315">
              <w:rPr>
                <w:rFonts w:ascii="Times New Roman" w:hAnsi="Times New Roman" w:cs="Times New Roman"/>
                <w:sz w:val="24"/>
                <w:szCs w:val="24"/>
              </w:rPr>
              <w:t xml:space="preserve"> papildomi regionų aplinkos apsaugos departamentų darbuotojų mokymai. Tokius mokymus numatoma organizuoti ir ateityje, įsigalioj</w:t>
            </w:r>
            <w:r w:rsidR="00A01F02" w:rsidRPr="00E44315">
              <w:rPr>
                <w:rFonts w:ascii="Times New Roman" w:hAnsi="Times New Roman" w:cs="Times New Roman"/>
                <w:sz w:val="24"/>
                <w:szCs w:val="24"/>
              </w:rPr>
              <w:t>us</w:t>
            </w:r>
            <w:r w:rsidRPr="00E44315">
              <w:rPr>
                <w:rFonts w:ascii="Times New Roman" w:hAnsi="Times New Roman" w:cs="Times New Roman"/>
                <w:sz w:val="24"/>
                <w:szCs w:val="24"/>
              </w:rPr>
              <w:t xml:space="preserve"> Direktyvai 2010/75/ES dėl pramoninių išmetamų teršalų.</w:t>
            </w:r>
          </w:p>
          <w:p w:rsidR="00030C7C" w:rsidRPr="00E44315" w:rsidRDefault="00030C7C" w:rsidP="005F57DA">
            <w:pPr>
              <w:jc w:val="both"/>
              <w:rPr>
                <w:rFonts w:ascii="Times New Roman" w:hAnsi="Times New Roman" w:cs="Times New Roman"/>
                <w:sz w:val="24"/>
                <w:szCs w:val="24"/>
              </w:rPr>
            </w:pPr>
            <w:r>
              <w:rPr>
                <w:rFonts w:ascii="Times New Roman" w:hAnsi="Times New Roman" w:cs="Times New Roman"/>
                <w:sz w:val="24"/>
                <w:szCs w:val="24"/>
              </w:rPr>
              <w:t xml:space="preserve">2013 metais atlikta organizacinė reforma atskiriant </w:t>
            </w:r>
            <w:r w:rsidR="00705302">
              <w:rPr>
                <w:rFonts w:ascii="Times New Roman" w:hAnsi="Times New Roman" w:cs="Times New Roman"/>
                <w:sz w:val="24"/>
                <w:szCs w:val="24"/>
              </w:rPr>
              <w:t>leidimų rengimo ir i</w:t>
            </w:r>
            <w:r w:rsidR="005F57DA">
              <w:rPr>
                <w:rFonts w:ascii="Times New Roman" w:hAnsi="Times New Roman" w:cs="Times New Roman"/>
                <w:sz w:val="24"/>
                <w:szCs w:val="24"/>
              </w:rPr>
              <w:t>nspektavimo funkcijas.</w:t>
            </w:r>
            <w:r w:rsidR="00705302">
              <w:rPr>
                <w:rFonts w:ascii="Times New Roman" w:hAnsi="Times New Roman" w:cs="Times New Roman"/>
                <w:sz w:val="24"/>
                <w:szCs w:val="24"/>
              </w:rPr>
              <w:t xml:space="preserve"> Nuo šiol leidimus išduos Aplinkos apsaugos agentūra, o </w:t>
            </w:r>
            <w:r w:rsidR="005F57DA">
              <w:rPr>
                <w:rFonts w:ascii="Times New Roman" w:hAnsi="Times New Roman" w:cs="Times New Roman"/>
                <w:sz w:val="24"/>
                <w:szCs w:val="24"/>
              </w:rPr>
              <w:t>inspektavimą kaip ir anksčiau atliks regionų aplinkos apsaugos departamentai.</w:t>
            </w:r>
            <w:r w:rsidR="00FC3611">
              <w:rPr>
                <w:rFonts w:ascii="Times New Roman" w:hAnsi="Times New Roman" w:cs="Times New Roman"/>
                <w:sz w:val="24"/>
                <w:szCs w:val="24"/>
              </w:rPr>
              <w:t xml:space="preserve"> Įkurta Valstybinė aplinkos apsaugos tarnyba koordinuos ir kontroliuos visų 8 regionų aplinkos apsaugos departamentų darbą.</w:t>
            </w:r>
          </w:p>
        </w:tc>
      </w:tr>
      <w:tr w:rsidR="00D97E14" w:rsidRPr="00E44315" w:rsidTr="0049617E">
        <w:tc>
          <w:tcPr>
            <w:tcW w:w="1276" w:type="dxa"/>
          </w:tcPr>
          <w:p w:rsidR="00156431" w:rsidRPr="00E44315" w:rsidRDefault="00161CCC" w:rsidP="00213654">
            <w:pPr>
              <w:jc w:val="both"/>
              <w:rPr>
                <w:rFonts w:ascii="Times New Roman" w:hAnsi="Times New Roman" w:cs="Times New Roman"/>
                <w:sz w:val="24"/>
                <w:szCs w:val="24"/>
              </w:rPr>
            </w:pPr>
            <w:r w:rsidRPr="00E44315">
              <w:rPr>
                <w:rFonts w:ascii="Times New Roman" w:hAnsi="Times New Roman" w:cs="Times New Roman"/>
                <w:sz w:val="24"/>
                <w:szCs w:val="24"/>
              </w:rPr>
              <w:t>2.1</w:t>
            </w:r>
          </w:p>
        </w:tc>
        <w:tc>
          <w:tcPr>
            <w:tcW w:w="3741" w:type="dxa"/>
          </w:tcPr>
          <w:p w:rsidR="00420C02" w:rsidRPr="00E44315" w:rsidRDefault="00420C02" w:rsidP="00213654">
            <w:pPr>
              <w:pStyle w:val="prastasiniatinklio"/>
              <w:spacing w:before="0" w:beforeAutospacing="0" w:after="0" w:afterAutospacing="0"/>
            </w:pPr>
            <w:r w:rsidRPr="00E44315">
              <w:t>Pateikite išsamią informaciją apie Direktyvoje 2008/1/EB apibrėžtų įrenginių ir leidimų skaičių pagal veiklos rūšis ataskaitinio laikotarpio pabaigoje, naudodami 2 dalyje pateiktą formą ir atsižvelgdami į ten pat pateiktas pastabas.</w:t>
            </w:r>
          </w:p>
          <w:p w:rsidR="00156431" w:rsidRPr="00E44315" w:rsidRDefault="00156431" w:rsidP="00213654">
            <w:pPr>
              <w:jc w:val="both"/>
              <w:rPr>
                <w:rFonts w:ascii="Times New Roman" w:hAnsi="Times New Roman" w:cs="Times New Roman"/>
                <w:sz w:val="24"/>
                <w:szCs w:val="24"/>
              </w:rPr>
            </w:pPr>
          </w:p>
        </w:tc>
        <w:tc>
          <w:tcPr>
            <w:tcW w:w="4758" w:type="dxa"/>
          </w:tcPr>
          <w:p w:rsidR="00156431" w:rsidRPr="00E44315" w:rsidRDefault="00161CCC" w:rsidP="00213654">
            <w:pPr>
              <w:jc w:val="both"/>
              <w:rPr>
                <w:rFonts w:ascii="Times New Roman" w:hAnsi="Times New Roman" w:cs="Times New Roman"/>
                <w:sz w:val="24"/>
                <w:szCs w:val="24"/>
              </w:rPr>
            </w:pPr>
            <w:r w:rsidRPr="00E44315">
              <w:rPr>
                <w:rFonts w:ascii="Times New Roman" w:hAnsi="Times New Roman" w:cs="Times New Roman"/>
                <w:sz w:val="24"/>
                <w:szCs w:val="24"/>
              </w:rPr>
              <w:t>Žr. užpildytą priedą prie klausimyno</w:t>
            </w:r>
          </w:p>
        </w:tc>
      </w:tr>
      <w:tr w:rsidR="00D97E14" w:rsidRPr="00E44315" w:rsidTr="0049617E">
        <w:tc>
          <w:tcPr>
            <w:tcW w:w="1276" w:type="dxa"/>
          </w:tcPr>
          <w:p w:rsidR="00156431" w:rsidRPr="00E44315" w:rsidRDefault="00A235EC" w:rsidP="00213654">
            <w:pPr>
              <w:jc w:val="both"/>
              <w:rPr>
                <w:rFonts w:ascii="Times New Roman" w:hAnsi="Times New Roman" w:cs="Times New Roman"/>
                <w:sz w:val="24"/>
                <w:szCs w:val="24"/>
              </w:rPr>
            </w:pPr>
            <w:r w:rsidRPr="00E44315">
              <w:rPr>
                <w:rFonts w:ascii="Times New Roman" w:hAnsi="Times New Roman" w:cs="Times New Roman"/>
                <w:sz w:val="24"/>
                <w:szCs w:val="24"/>
              </w:rPr>
              <w:t>2.2</w:t>
            </w:r>
          </w:p>
        </w:tc>
        <w:tc>
          <w:tcPr>
            <w:tcW w:w="3741" w:type="dxa"/>
          </w:tcPr>
          <w:p w:rsidR="00A235EC" w:rsidRPr="00E44315" w:rsidRDefault="00A235EC"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 xml:space="preserve">Taršos integruotos prevencijos ir kontrolės (TIPK) įrenginių nustatymas. Jei įmanoma, pateikite nuorodą į visuomenei prieinamą atnaujintą informaciją – Jūsų valstybėje narėje esančių TIPK </w:t>
            </w:r>
            <w:r w:rsidRPr="00E44315">
              <w:rPr>
                <w:rFonts w:ascii="Times New Roman" w:eastAsia="Times New Roman" w:hAnsi="Times New Roman" w:cs="Times New Roman"/>
                <w:sz w:val="24"/>
                <w:szCs w:val="24"/>
                <w:lang w:eastAsia="lt-LT"/>
              </w:rPr>
              <w:lastRenderedPageBreak/>
              <w:t>įrenginių pavadinimus, vietą ir pagrindinę veiklos rūšį (I priedas). Jei tokia informacija nėra prieinama visuomenei, pateikite visų atskirų ataskaitinio laikotarpio pabaigoje eksploatuojamų įrenginių sąrašą (pavadinimą, vietą ir pagrindinę TIPK veiklos rūšį). Jei tokio sąrašo neturima, paaiškinkite priežastį.</w:t>
            </w:r>
          </w:p>
          <w:p w:rsidR="00156431" w:rsidRPr="00E44315" w:rsidRDefault="00156431" w:rsidP="00213654">
            <w:pPr>
              <w:jc w:val="both"/>
              <w:rPr>
                <w:rFonts w:ascii="Times New Roman" w:hAnsi="Times New Roman" w:cs="Times New Roman"/>
                <w:sz w:val="24"/>
                <w:szCs w:val="24"/>
              </w:rPr>
            </w:pPr>
          </w:p>
        </w:tc>
        <w:tc>
          <w:tcPr>
            <w:tcW w:w="4758" w:type="dxa"/>
          </w:tcPr>
          <w:p w:rsidR="00156431" w:rsidRPr="00E44315" w:rsidRDefault="00A235EC" w:rsidP="00213654">
            <w:pPr>
              <w:jc w:val="both"/>
              <w:rPr>
                <w:rFonts w:ascii="Times New Roman" w:hAnsi="Times New Roman" w:cs="Times New Roman"/>
                <w:sz w:val="24"/>
                <w:szCs w:val="24"/>
              </w:rPr>
            </w:pPr>
            <w:r w:rsidRPr="00E44315">
              <w:rPr>
                <w:rFonts w:ascii="Times New Roman" w:hAnsi="Times New Roman" w:cs="Times New Roman"/>
                <w:sz w:val="24"/>
                <w:szCs w:val="24"/>
              </w:rPr>
              <w:lastRenderedPageBreak/>
              <w:t xml:space="preserve">Veikiančių įrenginių, kuriems taikomi Direktyvos 2008/1/EB reikalavimai, sąrašas kasmet yra atnaujinamas ir talpinamas Aplinkos apsaugos </w:t>
            </w:r>
            <w:r w:rsidR="00C717BF" w:rsidRPr="00E44315">
              <w:rPr>
                <w:rFonts w:ascii="Times New Roman" w:hAnsi="Times New Roman" w:cs="Times New Roman"/>
                <w:sz w:val="24"/>
                <w:szCs w:val="24"/>
              </w:rPr>
              <w:t>agentūros interneto puslapyje</w:t>
            </w:r>
            <w:r w:rsidR="00171EA5" w:rsidRPr="00E44315">
              <w:rPr>
                <w:rFonts w:ascii="Times New Roman" w:hAnsi="Times New Roman" w:cs="Times New Roman"/>
                <w:sz w:val="24"/>
                <w:szCs w:val="24"/>
              </w:rPr>
              <w:t xml:space="preserve">: </w:t>
            </w:r>
            <w:r w:rsidR="00171EA5" w:rsidRPr="00E44315">
              <w:rPr>
                <w:rFonts w:ascii="Times New Roman" w:hAnsi="Times New Roman" w:cs="Times New Roman"/>
                <w:sz w:val="24"/>
                <w:szCs w:val="24"/>
              </w:rPr>
              <w:lastRenderedPageBreak/>
              <w:t>http://gamta.lt/cms/index?rubricId=266d9067-c315-4045-a548-0150f9e9196a</w:t>
            </w:r>
          </w:p>
        </w:tc>
      </w:tr>
      <w:tr w:rsidR="00D97E14" w:rsidRPr="00E44315" w:rsidTr="0049617E">
        <w:tc>
          <w:tcPr>
            <w:tcW w:w="1276" w:type="dxa"/>
          </w:tcPr>
          <w:p w:rsidR="00156431" w:rsidRPr="00E44315" w:rsidRDefault="009C05A0" w:rsidP="00213654">
            <w:pPr>
              <w:jc w:val="both"/>
              <w:rPr>
                <w:rFonts w:ascii="Times New Roman" w:hAnsi="Times New Roman" w:cs="Times New Roman"/>
                <w:sz w:val="24"/>
                <w:szCs w:val="24"/>
              </w:rPr>
            </w:pPr>
            <w:r w:rsidRPr="00E44315">
              <w:rPr>
                <w:rFonts w:ascii="Times New Roman" w:hAnsi="Times New Roman" w:cs="Times New Roman"/>
                <w:sz w:val="24"/>
                <w:szCs w:val="24"/>
              </w:rPr>
              <w:lastRenderedPageBreak/>
              <w:t>3.</w:t>
            </w:r>
          </w:p>
        </w:tc>
        <w:tc>
          <w:tcPr>
            <w:tcW w:w="3741" w:type="dxa"/>
          </w:tcPr>
          <w:p w:rsidR="00171EA5" w:rsidRPr="00E44315" w:rsidRDefault="00171EA5" w:rsidP="00213654">
            <w:pPr>
              <w:pStyle w:val="prastasiniatinklio"/>
              <w:spacing w:before="0" w:beforeAutospacing="0" w:after="0" w:afterAutospacing="0"/>
            </w:pPr>
            <w:r w:rsidRPr="00E44315">
              <w:t>Apibūdinkite bendrąsias privalomas taisykles, rekomendacijas ar prašymų formas, kuriomis siekiama užtikrinti, kad prašymuose būtų pateikta visa 6 straipsnyje reikalaujama bendra arba su konkrečiais klausimais susijusi informacija (pvz., apie didelio iš įrenginių išmetamų teršalų kiekio vertinimo metodiką).</w:t>
            </w:r>
          </w:p>
          <w:p w:rsidR="00156431" w:rsidRPr="00E44315" w:rsidRDefault="00156431" w:rsidP="00213654">
            <w:pPr>
              <w:jc w:val="both"/>
              <w:rPr>
                <w:rFonts w:ascii="Times New Roman" w:hAnsi="Times New Roman" w:cs="Times New Roman"/>
                <w:sz w:val="24"/>
                <w:szCs w:val="24"/>
              </w:rPr>
            </w:pPr>
          </w:p>
        </w:tc>
        <w:tc>
          <w:tcPr>
            <w:tcW w:w="4758" w:type="dxa"/>
          </w:tcPr>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Į aplinkos ministro 2002 m. vasario 29 d.</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įsakymu Nr. 80 patvirtintų Taršos</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integruotos prevencijos ir kontrolės leidimų</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išdavimo, atnaujinimo ir panaikinimo</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taisyklių (toliau - TIPK taisyklės, nauja</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redakcija nuo 2005 m. birželio 29 d., Žin.,</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2005, Nr. 103-3829) VI skyrių perkelti</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Direktyvos 6 straipsnio reikalavimai</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paraiškos turiniui. Šių taisyklių 3 priede</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pateiktos išmetamų</w:t>
            </w:r>
            <w:r w:rsidR="00AC35B6" w:rsidRPr="00E44315">
              <w:rPr>
                <w:rFonts w:ascii="Times New Roman" w:eastAsia="Times New Roman" w:hAnsi="Times New Roman" w:cs="Times New Roman"/>
                <w:sz w:val="24"/>
                <w:szCs w:val="24"/>
                <w:lang w:eastAsia="lt-LT"/>
              </w:rPr>
              <w:t xml:space="preserve"> </w:t>
            </w:r>
            <w:r w:rsidRPr="00E44315">
              <w:rPr>
                <w:rFonts w:ascii="Times New Roman" w:eastAsia="Times New Roman" w:hAnsi="Times New Roman" w:cs="Times New Roman"/>
                <w:sz w:val="24"/>
                <w:szCs w:val="24"/>
                <w:lang w:eastAsia="lt-LT"/>
              </w:rPr>
              <w:t>teršalų kiekio vertinimo</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metodikos, 4 priede pateikta pavyzdinė</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paraiškos leidimui gauti forma. Paraiškos</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formoje pateikti išsamūs reikalavimai</w:t>
            </w:r>
          </w:p>
          <w:p w:rsidR="00F87743" w:rsidRPr="00E44315" w:rsidRDefault="00F8774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 xml:space="preserve">teikiamai informacijai, juos papildo </w:t>
            </w:r>
            <w:r w:rsidR="00AC35B6" w:rsidRPr="00E44315">
              <w:rPr>
                <w:rFonts w:ascii="Times New Roman" w:eastAsia="Times New Roman" w:hAnsi="Times New Roman" w:cs="Times New Roman"/>
                <w:sz w:val="24"/>
                <w:szCs w:val="24"/>
                <w:lang w:eastAsia="lt-LT"/>
              </w:rPr>
              <w:t>44 įvairios lentelės.</w:t>
            </w:r>
          </w:p>
          <w:p w:rsidR="00156431" w:rsidRPr="00E44315" w:rsidRDefault="00156431" w:rsidP="00213654">
            <w:pPr>
              <w:jc w:val="both"/>
              <w:rPr>
                <w:rFonts w:ascii="Times New Roman" w:hAnsi="Times New Roman" w:cs="Times New Roman"/>
                <w:sz w:val="24"/>
                <w:szCs w:val="24"/>
              </w:rPr>
            </w:pPr>
          </w:p>
        </w:tc>
      </w:tr>
      <w:tr w:rsidR="00D97E14" w:rsidRPr="00E44315" w:rsidTr="0049617E">
        <w:tc>
          <w:tcPr>
            <w:tcW w:w="1276" w:type="dxa"/>
          </w:tcPr>
          <w:p w:rsidR="00156431" w:rsidRPr="00E44315" w:rsidRDefault="00DF04B8" w:rsidP="00213654">
            <w:pPr>
              <w:jc w:val="both"/>
              <w:rPr>
                <w:rFonts w:ascii="Times New Roman" w:hAnsi="Times New Roman" w:cs="Times New Roman"/>
                <w:sz w:val="24"/>
                <w:szCs w:val="24"/>
              </w:rPr>
            </w:pPr>
            <w:r w:rsidRPr="00E44315">
              <w:rPr>
                <w:rFonts w:ascii="Times New Roman" w:hAnsi="Times New Roman" w:cs="Times New Roman"/>
                <w:sz w:val="24"/>
                <w:szCs w:val="24"/>
              </w:rPr>
              <w:t>4.1</w:t>
            </w:r>
          </w:p>
        </w:tc>
        <w:tc>
          <w:tcPr>
            <w:tcW w:w="3741" w:type="dxa"/>
          </w:tcPr>
          <w:p w:rsidR="00DF04B8" w:rsidRPr="00E44315" w:rsidRDefault="00DF04B8"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Apibūdinkite bet kokius po paskutinio ataskaitinio laikotarpio padarytus leidimų išdavimo tvarkos organizacinės struktūros pakeitimus, visų pirma susijusius su kompetentingų institucijų lygmenimis ir kompetencijų paskirstymu.</w:t>
            </w:r>
          </w:p>
          <w:p w:rsidR="00156431" w:rsidRPr="00E44315" w:rsidRDefault="00156431" w:rsidP="00213654">
            <w:pPr>
              <w:jc w:val="both"/>
              <w:rPr>
                <w:rFonts w:ascii="Times New Roman" w:hAnsi="Times New Roman" w:cs="Times New Roman"/>
                <w:sz w:val="24"/>
                <w:szCs w:val="24"/>
              </w:rPr>
            </w:pPr>
          </w:p>
        </w:tc>
        <w:tc>
          <w:tcPr>
            <w:tcW w:w="4758" w:type="dxa"/>
          </w:tcPr>
          <w:p w:rsidR="00156431" w:rsidRPr="00E44315" w:rsidRDefault="009C2535" w:rsidP="00213654">
            <w:pPr>
              <w:jc w:val="both"/>
              <w:rPr>
                <w:rFonts w:ascii="Times New Roman" w:hAnsi="Times New Roman" w:cs="Times New Roman"/>
                <w:sz w:val="24"/>
                <w:szCs w:val="24"/>
              </w:rPr>
            </w:pPr>
            <w:r>
              <w:rPr>
                <w:rFonts w:ascii="Times New Roman" w:hAnsi="Times New Roman" w:cs="Times New Roman"/>
                <w:sz w:val="24"/>
                <w:szCs w:val="24"/>
              </w:rPr>
              <w:t>Nuo 2012 metų birželio mėn. paraiška leidimui gauti nebederinama su vietos savivaldos institucija</w:t>
            </w:r>
            <w:r w:rsidR="00D06B21">
              <w:rPr>
                <w:rFonts w:ascii="Times New Roman" w:hAnsi="Times New Roman" w:cs="Times New Roman"/>
                <w:sz w:val="24"/>
                <w:szCs w:val="24"/>
              </w:rPr>
              <w:t>.</w:t>
            </w:r>
          </w:p>
        </w:tc>
      </w:tr>
      <w:tr w:rsidR="00D97E14" w:rsidRPr="00E44315" w:rsidTr="0049617E">
        <w:tc>
          <w:tcPr>
            <w:tcW w:w="1276" w:type="dxa"/>
          </w:tcPr>
          <w:p w:rsidR="00156431" w:rsidRPr="00E44315" w:rsidRDefault="0043441C" w:rsidP="00213654">
            <w:pPr>
              <w:jc w:val="both"/>
              <w:rPr>
                <w:rFonts w:ascii="Times New Roman" w:hAnsi="Times New Roman" w:cs="Times New Roman"/>
                <w:sz w:val="24"/>
                <w:szCs w:val="24"/>
              </w:rPr>
            </w:pPr>
            <w:r w:rsidRPr="00E44315">
              <w:rPr>
                <w:rFonts w:ascii="Times New Roman" w:hAnsi="Times New Roman" w:cs="Times New Roman"/>
                <w:sz w:val="24"/>
                <w:szCs w:val="24"/>
              </w:rPr>
              <w:t>4.2</w:t>
            </w:r>
          </w:p>
        </w:tc>
        <w:tc>
          <w:tcPr>
            <w:tcW w:w="3741" w:type="dxa"/>
          </w:tcPr>
          <w:p w:rsidR="0043441C" w:rsidRPr="00E44315" w:rsidRDefault="0043441C" w:rsidP="00213654">
            <w:pPr>
              <w:pStyle w:val="prastasiniatinklio"/>
              <w:spacing w:before="0" w:beforeAutospacing="0" w:after="0" w:afterAutospacing="0"/>
            </w:pPr>
            <w:r w:rsidRPr="00E44315">
              <w:t>Ar iškilo konkrečių sunkumų siekiant užtikrinti visapusišką leidimų išdavimo tvarkos ir sąlygų koordinavimą, kaip reikalaujama 7 straipsnyje, ypač jei šiame procese dalyvauja daugiau nei viena kompetentinga institucija? Apibūdinkite tam skirtus teisės aktus ar rekomendacijas.</w:t>
            </w:r>
          </w:p>
          <w:p w:rsidR="00156431" w:rsidRPr="00E44315" w:rsidRDefault="00156431" w:rsidP="00213654">
            <w:pPr>
              <w:jc w:val="both"/>
              <w:rPr>
                <w:rFonts w:ascii="Times New Roman" w:hAnsi="Times New Roman" w:cs="Times New Roman"/>
                <w:sz w:val="24"/>
                <w:szCs w:val="24"/>
              </w:rPr>
            </w:pPr>
          </w:p>
        </w:tc>
        <w:tc>
          <w:tcPr>
            <w:tcW w:w="4758" w:type="dxa"/>
          </w:tcPr>
          <w:p w:rsidR="008C5BBC" w:rsidRPr="00E44315" w:rsidRDefault="008C5BBC"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TIPK leidimus visoms Direktyvos 1 priede</w:t>
            </w:r>
          </w:p>
          <w:p w:rsidR="008C5BBC" w:rsidRPr="00E44315" w:rsidRDefault="008C5BBC"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išvardintoms veiklos rūšims Lietuvoje</w:t>
            </w:r>
            <w:r w:rsidR="00CA640A" w:rsidRPr="00E44315">
              <w:rPr>
                <w:rFonts w:ascii="Times New Roman" w:eastAsia="Times New Roman" w:hAnsi="Times New Roman" w:cs="Times New Roman"/>
                <w:sz w:val="24"/>
                <w:szCs w:val="24"/>
                <w:lang w:eastAsia="lt-LT"/>
              </w:rPr>
              <w:t xml:space="preserve"> ataskaitiniu laikotarpiu rengė ir išdavinėjo</w:t>
            </w:r>
            <w:r w:rsidRPr="00E44315">
              <w:rPr>
                <w:rFonts w:ascii="Times New Roman" w:eastAsia="Times New Roman" w:hAnsi="Times New Roman" w:cs="Times New Roman"/>
                <w:sz w:val="24"/>
                <w:szCs w:val="24"/>
                <w:lang w:eastAsia="lt-LT"/>
              </w:rPr>
              <w:t xml:space="preserve"> Aplinkos ministerijos pavaldume</w:t>
            </w:r>
          </w:p>
          <w:p w:rsidR="008C5BBC" w:rsidRPr="00E44315" w:rsidRDefault="008C5BBC"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esantys region</w:t>
            </w:r>
            <w:r w:rsidR="00FA74D9" w:rsidRPr="00E44315">
              <w:rPr>
                <w:rFonts w:ascii="Times New Roman" w:eastAsia="Times New Roman" w:hAnsi="Times New Roman" w:cs="Times New Roman"/>
                <w:sz w:val="24"/>
                <w:szCs w:val="24"/>
                <w:lang w:eastAsia="lt-LT"/>
              </w:rPr>
              <w:t>ų</w:t>
            </w:r>
            <w:r w:rsidRPr="00E44315">
              <w:rPr>
                <w:rFonts w:ascii="Times New Roman" w:eastAsia="Times New Roman" w:hAnsi="Times New Roman" w:cs="Times New Roman"/>
                <w:sz w:val="24"/>
                <w:szCs w:val="24"/>
                <w:lang w:eastAsia="lt-LT"/>
              </w:rPr>
              <w:t xml:space="preserve"> aplinkos apsaugos</w:t>
            </w:r>
          </w:p>
          <w:p w:rsidR="008C5BBC" w:rsidRPr="00E44315" w:rsidRDefault="008C5BBC"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departamentai (toliau – RAAD)</w:t>
            </w:r>
            <w:r w:rsidR="00694A75">
              <w:rPr>
                <w:rFonts w:ascii="Times New Roman" w:eastAsia="Times New Roman" w:hAnsi="Times New Roman" w:cs="Times New Roman"/>
                <w:sz w:val="24"/>
                <w:szCs w:val="24"/>
                <w:lang w:eastAsia="lt-LT"/>
              </w:rPr>
              <w:t xml:space="preserve">, paraišką leidimui gauti derinę su visuomenės sveikatos apsaugos </w:t>
            </w:r>
            <w:r w:rsidR="0029596B">
              <w:rPr>
                <w:rFonts w:ascii="Times New Roman" w:eastAsia="Times New Roman" w:hAnsi="Times New Roman" w:cs="Times New Roman"/>
                <w:sz w:val="24"/>
                <w:szCs w:val="24"/>
                <w:lang w:eastAsia="lt-LT"/>
              </w:rPr>
              <w:t>institucija ir vietos savivaldos institucija (iki 2012 m. birželio mėn</w:t>
            </w:r>
            <w:r w:rsidRPr="00E44315">
              <w:rPr>
                <w:rFonts w:ascii="Times New Roman" w:eastAsia="Times New Roman" w:hAnsi="Times New Roman" w:cs="Times New Roman"/>
                <w:sz w:val="24"/>
                <w:szCs w:val="24"/>
                <w:lang w:eastAsia="lt-LT"/>
              </w:rPr>
              <w:t>.</w:t>
            </w:r>
            <w:r w:rsidR="0029596B">
              <w:rPr>
                <w:rFonts w:ascii="Times New Roman" w:eastAsia="Times New Roman" w:hAnsi="Times New Roman" w:cs="Times New Roman"/>
                <w:sz w:val="24"/>
                <w:szCs w:val="24"/>
                <w:lang w:eastAsia="lt-LT"/>
              </w:rPr>
              <w:t>)</w:t>
            </w:r>
            <w:r w:rsidRPr="00E44315">
              <w:rPr>
                <w:rFonts w:ascii="Times New Roman" w:eastAsia="Times New Roman" w:hAnsi="Times New Roman" w:cs="Times New Roman"/>
                <w:sz w:val="24"/>
                <w:szCs w:val="24"/>
                <w:lang w:eastAsia="lt-LT"/>
              </w:rPr>
              <w:t xml:space="preserve"> Neturime</w:t>
            </w:r>
            <w:r w:rsidR="0029596B">
              <w:rPr>
                <w:rFonts w:ascii="Times New Roman" w:eastAsia="Times New Roman" w:hAnsi="Times New Roman" w:cs="Times New Roman"/>
                <w:sz w:val="24"/>
                <w:szCs w:val="24"/>
                <w:lang w:eastAsia="lt-LT"/>
              </w:rPr>
              <w:t xml:space="preserve"> </w:t>
            </w:r>
            <w:r w:rsidRPr="00E44315">
              <w:rPr>
                <w:rFonts w:ascii="Times New Roman" w:eastAsia="Times New Roman" w:hAnsi="Times New Roman" w:cs="Times New Roman"/>
                <w:sz w:val="24"/>
                <w:szCs w:val="24"/>
                <w:lang w:eastAsia="lt-LT"/>
              </w:rPr>
              <w:t xml:space="preserve">informacijos, kad dėl to būtų iškilę </w:t>
            </w:r>
            <w:r w:rsidR="00CA640A" w:rsidRPr="00E44315">
              <w:rPr>
                <w:rFonts w:ascii="Times New Roman" w:eastAsia="Times New Roman" w:hAnsi="Times New Roman" w:cs="Times New Roman"/>
                <w:sz w:val="24"/>
                <w:szCs w:val="24"/>
                <w:lang w:eastAsia="lt-LT"/>
              </w:rPr>
              <w:t>kokių nors sunkumų.</w:t>
            </w:r>
          </w:p>
          <w:p w:rsidR="00156431" w:rsidRPr="00E44315" w:rsidRDefault="00156431" w:rsidP="00213654">
            <w:pPr>
              <w:jc w:val="both"/>
              <w:rPr>
                <w:rFonts w:ascii="Times New Roman" w:hAnsi="Times New Roman" w:cs="Times New Roman"/>
                <w:sz w:val="24"/>
                <w:szCs w:val="24"/>
              </w:rPr>
            </w:pPr>
          </w:p>
        </w:tc>
      </w:tr>
      <w:tr w:rsidR="00D97E14" w:rsidRPr="00E44315" w:rsidTr="0049617E">
        <w:tc>
          <w:tcPr>
            <w:tcW w:w="1276" w:type="dxa"/>
          </w:tcPr>
          <w:p w:rsidR="00156431" w:rsidRPr="00E44315" w:rsidRDefault="00EB51DF" w:rsidP="00213654">
            <w:pPr>
              <w:jc w:val="both"/>
              <w:rPr>
                <w:rFonts w:ascii="Times New Roman" w:hAnsi="Times New Roman" w:cs="Times New Roman"/>
                <w:sz w:val="24"/>
                <w:szCs w:val="24"/>
              </w:rPr>
            </w:pPr>
            <w:r w:rsidRPr="00E44315">
              <w:rPr>
                <w:rFonts w:ascii="Times New Roman" w:hAnsi="Times New Roman" w:cs="Times New Roman"/>
                <w:sz w:val="24"/>
                <w:szCs w:val="24"/>
              </w:rPr>
              <w:t>4.3</w:t>
            </w:r>
          </w:p>
        </w:tc>
        <w:tc>
          <w:tcPr>
            <w:tcW w:w="3741" w:type="dxa"/>
          </w:tcPr>
          <w:p w:rsidR="003523E8" w:rsidRPr="00E44315" w:rsidRDefault="003523E8"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 xml:space="preserve">Kokiomis teisinėmis nuostatomis, procedūromis arba rekomendacijomis siekiama </w:t>
            </w:r>
            <w:r w:rsidRPr="00E44315">
              <w:rPr>
                <w:rFonts w:ascii="Times New Roman" w:eastAsia="Times New Roman" w:hAnsi="Times New Roman" w:cs="Times New Roman"/>
                <w:sz w:val="24"/>
                <w:szCs w:val="24"/>
                <w:lang w:eastAsia="lt-LT"/>
              </w:rPr>
              <w:lastRenderedPageBreak/>
              <w:t>užtikrinti, kad kompetentingos institucijos neišduotų leidimo, jei įrenginys neatitinka Direktyvoje 2008/1/EB keliamų reikalavimų? Jei įmanoma, pateikite informaciją apie tai, kokiomis aplinkybėmis ir kiek leidimų buvo atsisakyta išduoti.</w:t>
            </w:r>
          </w:p>
          <w:p w:rsidR="00156431" w:rsidRPr="00E44315" w:rsidRDefault="00156431" w:rsidP="00213654">
            <w:pPr>
              <w:jc w:val="both"/>
              <w:rPr>
                <w:rFonts w:ascii="Times New Roman" w:hAnsi="Times New Roman" w:cs="Times New Roman"/>
                <w:sz w:val="24"/>
                <w:szCs w:val="24"/>
              </w:rPr>
            </w:pPr>
          </w:p>
        </w:tc>
        <w:tc>
          <w:tcPr>
            <w:tcW w:w="4758" w:type="dxa"/>
          </w:tcPr>
          <w:p w:rsidR="0050475E" w:rsidRPr="00E44315" w:rsidRDefault="0050475E" w:rsidP="00213654">
            <w:pPr>
              <w:snapToGrid w:val="0"/>
              <w:jc w:val="both"/>
              <w:rPr>
                <w:rFonts w:ascii="Times New Roman" w:hAnsi="Times New Roman" w:cs="Times New Roman"/>
                <w:color w:val="000000"/>
                <w:sz w:val="24"/>
                <w:szCs w:val="24"/>
              </w:rPr>
            </w:pPr>
            <w:r w:rsidRPr="00E44315">
              <w:rPr>
                <w:rFonts w:ascii="Times New Roman" w:hAnsi="Times New Roman" w:cs="Times New Roman"/>
                <w:color w:val="000000"/>
                <w:sz w:val="24"/>
                <w:szCs w:val="24"/>
              </w:rPr>
              <w:lastRenderedPageBreak/>
              <w:t xml:space="preserve">TIPK taisyklių 13 punktas nustato, kad veiklos vykdytojas pagal taisyklių 4 priede pateiktą </w:t>
            </w:r>
            <w:r w:rsidRPr="00E44315">
              <w:rPr>
                <w:rFonts w:ascii="Times New Roman" w:hAnsi="Times New Roman" w:cs="Times New Roman"/>
                <w:color w:val="000000"/>
                <w:sz w:val="24"/>
                <w:szCs w:val="24"/>
              </w:rPr>
              <w:lastRenderedPageBreak/>
              <w:t xml:space="preserve">pavyzdinę formą pateikia paraišką leidimui gauti. </w:t>
            </w:r>
          </w:p>
          <w:p w:rsidR="0050475E" w:rsidRPr="00E44315" w:rsidRDefault="0050475E" w:rsidP="00213654">
            <w:pPr>
              <w:jc w:val="both"/>
              <w:rPr>
                <w:rFonts w:ascii="Times New Roman" w:hAnsi="Times New Roman" w:cs="Times New Roman"/>
                <w:color w:val="000000"/>
                <w:sz w:val="24"/>
                <w:szCs w:val="24"/>
              </w:rPr>
            </w:pPr>
            <w:r w:rsidRPr="00E44315">
              <w:rPr>
                <w:rFonts w:ascii="Times New Roman" w:hAnsi="Times New Roman" w:cs="Times New Roman"/>
                <w:color w:val="000000"/>
                <w:sz w:val="24"/>
                <w:szCs w:val="24"/>
              </w:rPr>
              <w:t>TIPK taisyklių VI skyrius (13-24 p.) nustato reikalavimus paraiškos turiniui.</w:t>
            </w:r>
          </w:p>
          <w:p w:rsidR="0050475E" w:rsidRPr="00E44315" w:rsidRDefault="0050475E" w:rsidP="00213654">
            <w:pPr>
              <w:pStyle w:val="Pagrindinistekstas1"/>
              <w:rPr>
                <w:rFonts w:ascii="Times New Roman" w:hAnsi="Times New Roman"/>
                <w:sz w:val="24"/>
                <w:szCs w:val="24"/>
                <w:lang w:val="lt-LT"/>
              </w:rPr>
            </w:pPr>
            <w:r w:rsidRPr="00E44315">
              <w:rPr>
                <w:rFonts w:ascii="Times New Roman" w:hAnsi="Times New Roman"/>
                <w:sz w:val="24"/>
                <w:szCs w:val="24"/>
                <w:lang w:val="lt-LT"/>
              </w:rPr>
              <w:t>Taisyklių 48 punktas nustato esmines sąlygas leidimo išdavimui:</w:t>
            </w:r>
          </w:p>
          <w:p w:rsidR="0050475E" w:rsidRPr="00E44315" w:rsidRDefault="0050475E" w:rsidP="00213654">
            <w:pPr>
              <w:pStyle w:val="Pagrindinistekstas1"/>
              <w:rPr>
                <w:rFonts w:ascii="Times New Roman" w:hAnsi="Times New Roman"/>
                <w:sz w:val="24"/>
                <w:szCs w:val="24"/>
                <w:lang w:val="lt-LT"/>
              </w:rPr>
            </w:pPr>
            <w:r w:rsidRPr="00E44315">
              <w:rPr>
                <w:rFonts w:ascii="Times New Roman" w:hAnsi="Times New Roman"/>
                <w:sz w:val="24"/>
                <w:szCs w:val="24"/>
                <w:lang w:val="lt-LT"/>
              </w:rPr>
              <w:t>„48. RAAD priima sprendimą išduoti Leidimą tik įsitikinęs, kad:</w:t>
            </w:r>
          </w:p>
          <w:p w:rsidR="0050475E" w:rsidRPr="00E44315" w:rsidRDefault="0050475E" w:rsidP="00213654">
            <w:pPr>
              <w:pStyle w:val="Pagrindinistekstas1"/>
              <w:rPr>
                <w:rFonts w:ascii="Times New Roman" w:hAnsi="Times New Roman"/>
                <w:sz w:val="24"/>
                <w:szCs w:val="24"/>
                <w:lang w:val="lt-LT"/>
              </w:rPr>
            </w:pPr>
            <w:r w:rsidRPr="00E44315">
              <w:rPr>
                <w:rFonts w:ascii="Times New Roman" w:hAnsi="Times New Roman"/>
                <w:sz w:val="24"/>
                <w:szCs w:val="24"/>
                <w:lang w:val="lt-LT"/>
              </w:rPr>
              <w:t>48.1. vykdoma ūkinė veikla nepažeis nustatytų aplinkos kokybės normų;</w:t>
            </w:r>
          </w:p>
          <w:p w:rsidR="0050475E" w:rsidRPr="00E44315" w:rsidRDefault="0050475E" w:rsidP="00213654">
            <w:pPr>
              <w:pStyle w:val="Pagrindinistekstas1"/>
              <w:rPr>
                <w:rFonts w:ascii="Times New Roman" w:hAnsi="Times New Roman"/>
                <w:sz w:val="24"/>
                <w:szCs w:val="24"/>
                <w:lang w:val="lt-LT"/>
              </w:rPr>
            </w:pPr>
            <w:r w:rsidRPr="00E44315">
              <w:rPr>
                <w:rFonts w:ascii="Times New Roman" w:hAnsi="Times New Roman"/>
                <w:sz w:val="24"/>
                <w:szCs w:val="24"/>
                <w:lang w:val="lt-LT"/>
              </w:rPr>
              <w:t>48.2. veiklos vykdytojas pasirengęs vykdyti visas Leidimo sąlygas;</w:t>
            </w:r>
          </w:p>
          <w:p w:rsidR="0050475E" w:rsidRPr="00E44315" w:rsidRDefault="0050475E" w:rsidP="00213654">
            <w:pPr>
              <w:pStyle w:val="Pagrindinistekstas1"/>
              <w:rPr>
                <w:rFonts w:ascii="Times New Roman" w:hAnsi="Times New Roman"/>
                <w:sz w:val="24"/>
                <w:szCs w:val="24"/>
                <w:lang w:val="lt-LT"/>
              </w:rPr>
            </w:pPr>
            <w:r w:rsidRPr="00E44315">
              <w:rPr>
                <w:rFonts w:ascii="Times New Roman" w:hAnsi="Times New Roman"/>
                <w:sz w:val="24"/>
                <w:szCs w:val="24"/>
                <w:lang w:val="lt-LT"/>
              </w:rPr>
              <w:t>48.3. veiklos vykdytojas techniškai ir ekonomiškai gali įgyvendinti Leidime nustatytas gamtos išteklių taupymo ir atliekų mažinimo, aplinkos apsaugos ir avarijų prevencijos priemones;</w:t>
            </w:r>
          </w:p>
          <w:p w:rsidR="0050475E" w:rsidRPr="00E44315" w:rsidRDefault="0050475E" w:rsidP="00213654">
            <w:pPr>
              <w:pStyle w:val="Pagrindinistekstas1"/>
              <w:rPr>
                <w:rFonts w:ascii="Times New Roman" w:hAnsi="Times New Roman"/>
                <w:sz w:val="24"/>
                <w:szCs w:val="24"/>
                <w:lang w:val="lt-LT"/>
              </w:rPr>
            </w:pPr>
            <w:r w:rsidRPr="00E44315">
              <w:rPr>
                <w:rFonts w:ascii="Times New Roman" w:hAnsi="Times New Roman"/>
                <w:sz w:val="24"/>
                <w:szCs w:val="24"/>
                <w:lang w:val="lt-LT"/>
              </w:rPr>
              <w:t>48.4. veiklos vykdytojas, kuris nustatyta tvarka privalo gauti leidimą išmesti šiltnamio dujas, įsipareigojo nustatyta tvarka ir terminais deklaruoti ATL.”</w:t>
            </w:r>
          </w:p>
          <w:p w:rsidR="00156431" w:rsidRPr="00E44315" w:rsidRDefault="0050475E" w:rsidP="00213654">
            <w:pPr>
              <w:jc w:val="both"/>
              <w:rPr>
                <w:rFonts w:ascii="Times New Roman" w:hAnsi="Times New Roman" w:cs="Times New Roman"/>
                <w:sz w:val="24"/>
                <w:szCs w:val="24"/>
              </w:rPr>
            </w:pPr>
            <w:r w:rsidRPr="00E44315">
              <w:rPr>
                <w:rFonts w:ascii="Times New Roman" w:hAnsi="Times New Roman" w:cs="Times New Roman"/>
                <w:sz w:val="24"/>
                <w:szCs w:val="24"/>
              </w:rPr>
              <w:t>Per ataskaitinį laikotarpį atvejų, kai buvo atsisakyta išduoti leidimą, nebuvo.</w:t>
            </w:r>
          </w:p>
        </w:tc>
      </w:tr>
      <w:tr w:rsidR="008D7444" w:rsidRPr="00E44315" w:rsidTr="0049617E">
        <w:trPr>
          <w:trHeight w:val="1457"/>
        </w:trPr>
        <w:tc>
          <w:tcPr>
            <w:tcW w:w="1276" w:type="dxa"/>
          </w:tcPr>
          <w:p w:rsidR="008D7444" w:rsidRPr="00E44315" w:rsidRDefault="008D7444" w:rsidP="00213654">
            <w:pPr>
              <w:jc w:val="both"/>
              <w:rPr>
                <w:rFonts w:ascii="Times New Roman" w:hAnsi="Times New Roman" w:cs="Times New Roman"/>
                <w:sz w:val="24"/>
                <w:szCs w:val="24"/>
              </w:rPr>
            </w:pPr>
            <w:r w:rsidRPr="00E44315">
              <w:rPr>
                <w:rFonts w:ascii="Times New Roman" w:hAnsi="Times New Roman" w:cs="Times New Roman"/>
                <w:sz w:val="24"/>
                <w:szCs w:val="24"/>
              </w:rPr>
              <w:lastRenderedPageBreak/>
              <w:t>5.1</w:t>
            </w:r>
          </w:p>
        </w:tc>
        <w:tc>
          <w:tcPr>
            <w:tcW w:w="3741" w:type="dxa"/>
          </w:tcPr>
          <w:p w:rsidR="002B1BE1" w:rsidRPr="00E44315" w:rsidRDefault="002B1BE1" w:rsidP="00213654">
            <w:pPr>
              <w:pStyle w:val="CM4"/>
              <w:rPr>
                <w:rFonts w:ascii="Times New Roman" w:hAnsi="Times New Roman"/>
                <w:color w:val="000000"/>
              </w:rPr>
            </w:pPr>
            <w:r w:rsidRPr="00E44315">
              <w:rPr>
                <w:rFonts w:ascii="Times New Roman" w:hAnsi="Times New Roman"/>
                <w:color w:val="000000"/>
              </w:rPr>
              <w:t xml:space="preserve">Apibūdinkite visas kompetentingoms institucijoms skirtas bendrąsias privalomas taisykles arba konkrečias gaires, susijusias su: </w:t>
            </w:r>
          </w:p>
          <w:p w:rsidR="002B1BE1" w:rsidRPr="00E44315" w:rsidRDefault="002B1BE1" w:rsidP="00213654">
            <w:pPr>
              <w:pStyle w:val="CM4"/>
              <w:rPr>
                <w:rFonts w:ascii="Times New Roman" w:hAnsi="Times New Roman"/>
                <w:color w:val="000000"/>
              </w:rPr>
            </w:pPr>
            <w:r w:rsidRPr="00E44315">
              <w:rPr>
                <w:rFonts w:ascii="Times New Roman" w:hAnsi="Times New Roman"/>
                <w:color w:val="000000"/>
              </w:rPr>
              <w:t xml:space="preserve">1. išmetamųjų teršalų ribinių verčių ir kitų leidimų išdavimo sąlygų nustatymo tvarka ir kriterijais; </w:t>
            </w:r>
          </w:p>
          <w:p w:rsidR="002B1BE1" w:rsidRPr="00E44315" w:rsidRDefault="002B1BE1" w:rsidP="00213654">
            <w:pPr>
              <w:pStyle w:val="CM4"/>
              <w:rPr>
                <w:rFonts w:ascii="Times New Roman" w:hAnsi="Times New Roman"/>
                <w:color w:val="000000"/>
              </w:rPr>
            </w:pPr>
            <w:r w:rsidRPr="00E44315">
              <w:rPr>
                <w:rFonts w:ascii="Times New Roman" w:hAnsi="Times New Roman"/>
                <w:color w:val="000000"/>
              </w:rPr>
              <w:t xml:space="preserve">2. bendraisiais principais, kuriais vadovaujantis nustatomi geriausi prieinami gamybos būdai; </w:t>
            </w:r>
          </w:p>
          <w:p w:rsidR="002B1BE1" w:rsidRPr="00E44315" w:rsidRDefault="002B1BE1" w:rsidP="00213654">
            <w:pPr>
              <w:pStyle w:val="CM4"/>
              <w:rPr>
                <w:rFonts w:ascii="Times New Roman" w:hAnsi="Times New Roman"/>
                <w:color w:val="000000"/>
              </w:rPr>
            </w:pPr>
            <w:r w:rsidRPr="00E44315">
              <w:rPr>
                <w:rFonts w:ascii="Times New Roman" w:hAnsi="Times New Roman"/>
                <w:color w:val="000000"/>
              </w:rPr>
              <w:t xml:space="preserve">3. 9 straipsnio 4 dalies įgyvendinimu. </w:t>
            </w:r>
          </w:p>
          <w:p w:rsidR="008D7444" w:rsidRPr="00E44315" w:rsidRDefault="008D7444" w:rsidP="00213654">
            <w:pPr>
              <w:rPr>
                <w:rFonts w:ascii="Times New Roman" w:hAnsi="Times New Roman" w:cs="Times New Roman"/>
                <w:sz w:val="24"/>
                <w:szCs w:val="24"/>
              </w:rPr>
            </w:pPr>
          </w:p>
        </w:tc>
        <w:tc>
          <w:tcPr>
            <w:tcW w:w="4758" w:type="dxa"/>
          </w:tcPr>
          <w:p w:rsidR="00A24766" w:rsidRPr="00E44315" w:rsidRDefault="00A24766" w:rsidP="00213654">
            <w:pPr>
              <w:snapToGrid w:val="0"/>
              <w:jc w:val="both"/>
              <w:rPr>
                <w:rFonts w:ascii="Times New Roman" w:hAnsi="Times New Roman" w:cs="Times New Roman"/>
                <w:color w:val="000000"/>
                <w:sz w:val="24"/>
                <w:szCs w:val="24"/>
              </w:rPr>
            </w:pPr>
            <w:r w:rsidRPr="00E44315">
              <w:rPr>
                <w:rFonts w:ascii="Times New Roman" w:hAnsi="Times New Roman" w:cs="Times New Roman"/>
                <w:sz w:val="24"/>
                <w:szCs w:val="24"/>
              </w:rPr>
              <w:t xml:space="preserve">1) </w:t>
            </w:r>
            <w:r w:rsidRPr="00E44315">
              <w:rPr>
                <w:rFonts w:ascii="Times New Roman" w:hAnsi="Times New Roman" w:cs="Times New Roman"/>
                <w:color w:val="000000"/>
                <w:sz w:val="24"/>
                <w:szCs w:val="24"/>
              </w:rPr>
              <w:t>TIPK taisyklių 43.3.3 punktas nustato:</w:t>
            </w:r>
          </w:p>
          <w:p w:rsidR="00A24766" w:rsidRPr="00E44315" w:rsidRDefault="00A24766" w:rsidP="00213654">
            <w:pPr>
              <w:pStyle w:val="Pagrindinistekstas1"/>
              <w:rPr>
                <w:rFonts w:ascii="Times New Roman" w:hAnsi="Times New Roman"/>
                <w:sz w:val="24"/>
                <w:szCs w:val="24"/>
                <w:lang w:val="lt-LT"/>
              </w:rPr>
            </w:pPr>
            <w:r w:rsidRPr="00E44315">
              <w:rPr>
                <w:rFonts w:ascii="Times New Roman" w:hAnsi="Times New Roman"/>
                <w:color w:val="000000"/>
                <w:sz w:val="24"/>
                <w:szCs w:val="24"/>
                <w:lang w:val="lt-LT"/>
              </w:rPr>
              <w:t xml:space="preserve">„43.3.3. </w:t>
            </w:r>
            <w:r w:rsidRPr="00E44315">
              <w:rPr>
                <w:rFonts w:ascii="Times New Roman" w:hAnsi="Times New Roman"/>
                <w:sz w:val="24"/>
                <w:szCs w:val="24"/>
                <w:lang w:val="lt-LT"/>
              </w:rPr>
              <w:t>Taisyklių 1 priede nurodytiems įrenginiams išmetamų teršalų ribinės vertės nustatomos vadovaujantis Europos Sąjungos GPGB informaciniais dokumentais. Jeigu pramonės sektoriui GPGB informacinių dokumentų dar neparengta arba jeigu teršalų, išmetamų iš Taisyklių 1 priede nurodytų įrenginių, ribinės vertės nenustatytos Europos Sąjungos lygmeniu, išmetamų teršalų ribinės vertės Taisyklių 1 priede nurodytiems įrenginiams nustatomos pagal galiojančias išmetamų teršalų bei aplinkos kokybės normas ir Lietuvos Respublikos tarptautinius įsipareigojimus, atsižvelgiant į vietovės aplinkos sąlygas bei veiklos vykdytojo technines ir ekonomines galimybes. Šiuo atveju nacionaliniais teisės aktais nustatytos galiojančios išmetamų teršalų normos taikomos kaip minimalūs reikalavimai;“ TIPK taisyklių 3 priede pateikti leistinų taršos normų nustatymo ir taršos poveikio aplinkai prognozės metodai. Šiomis normomis RAAD privalo vadovautis, kai leistinos taršos normų negalima nustatyti GPGB informacinių dokumentų pagalba.</w:t>
            </w:r>
          </w:p>
          <w:p w:rsidR="00A24766" w:rsidRPr="00E44315" w:rsidRDefault="00A24766" w:rsidP="00213654">
            <w:pPr>
              <w:pStyle w:val="Pagrindinistekstas1"/>
              <w:rPr>
                <w:rFonts w:ascii="Times New Roman" w:hAnsi="Times New Roman"/>
                <w:sz w:val="24"/>
                <w:szCs w:val="24"/>
                <w:lang w:val="lt-LT"/>
              </w:rPr>
            </w:pPr>
            <w:r w:rsidRPr="00E44315">
              <w:rPr>
                <w:rFonts w:ascii="Times New Roman" w:hAnsi="Times New Roman"/>
                <w:sz w:val="24"/>
                <w:szCs w:val="24"/>
                <w:lang w:val="lt-LT"/>
              </w:rPr>
              <w:t xml:space="preserve">2) TIPK taisyklių 12.1 ir 12.3 punktai dalinai reglamentuoja ir bendruosius principus, </w:t>
            </w:r>
            <w:r w:rsidRPr="00E44315">
              <w:rPr>
                <w:rFonts w:ascii="Times New Roman" w:hAnsi="Times New Roman"/>
                <w:sz w:val="24"/>
                <w:szCs w:val="24"/>
                <w:lang w:val="lt-LT"/>
              </w:rPr>
              <w:lastRenderedPageBreak/>
              <w:t>kuriais vadovaujantis nustatomi geriausi prieinami gamybos būdai:</w:t>
            </w:r>
          </w:p>
          <w:p w:rsidR="00A24766" w:rsidRPr="00E44315" w:rsidRDefault="00A24766" w:rsidP="00213654">
            <w:pPr>
              <w:pStyle w:val="Pagrindinistekstas1"/>
              <w:rPr>
                <w:rFonts w:ascii="Times New Roman" w:hAnsi="Times New Roman"/>
                <w:sz w:val="24"/>
                <w:szCs w:val="24"/>
                <w:lang w:val="lt-LT"/>
              </w:rPr>
            </w:pPr>
            <w:r w:rsidRPr="00E44315">
              <w:rPr>
                <w:rFonts w:ascii="Times New Roman" w:hAnsi="Times New Roman"/>
                <w:sz w:val="24"/>
                <w:szCs w:val="24"/>
                <w:lang w:val="lt-LT"/>
              </w:rPr>
              <w:t xml:space="preserve">„12.1. [...] nustatytos išmetamų teršalų ribinės vertės turi būti palyginamos ir pagal galimybę atitikti išmetamų teršalų ribines vertes, nurodytas ES GPGB informaciniuose dokumentuose </w:t>
            </w:r>
            <w:r w:rsidR="00CA6D76" w:rsidRPr="00E44315">
              <w:rPr>
                <w:rFonts w:ascii="Times New Roman" w:hAnsi="Times New Roman"/>
                <w:sz w:val="24"/>
                <w:szCs w:val="24"/>
                <w:lang w:val="lt-LT"/>
              </w:rPr>
              <w:t xml:space="preserve">(toliau – GPGB  ID) </w:t>
            </w:r>
            <w:r w:rsidRPr="00E44315">
              <w:rPr>
                <w:rFonts w:ascii="Times New Roman" w:hAnsi="Times New Roman"/>
                <w:sz w:val="24"/>
                <w:szCs w:val="24"/>
                <w:lang w:val="lt-LT"/>
              </w:rPr>
              <w:t>ar šių dokumentų anotacijose. RAAD motyvuotu sprendimu, atsižvelgus į ūkinės veiklos vietos sąlygas, ribinės vertės gali būti griežtinamos arba keičiamos lygiaverčiais parametrais ar techninėmis priemonėmis. Jeigu aplinkos kokybės normos reikalauja griežtesnių sąlygų už tas, kurios įvykdomos naudojant geriausius prieinamus gamybos būdus, leidime turi būti reikalaujama imtis papildomų priemonių, nepažeidžiant kitų priemonių, kurių galima imtis siekiant įvykdyti aplinkos kokybės normas.</w:t>
            </w:r>
          </w:p>
          <w:p w:rsidR="00A24766" w:rsidRPr="00E44315" w:rsidRDefault="00A24766" w:rsidP="00213654">
            <w:pPr>
              <w:pStyle w:val="Pagrindinistekstas1"/>
              <w:rPr>
                <w:rFonts w:ascii="Times New Roman" w:hAnsi="Times New Roman"/>
                <w:sz w:val="24"/>
                <w:szCs w:val="24"/>
                <w:lang w:val="lt-LT"/>
              </w:rPr>
            </w:pPr>
            <w:r w:rsidRPr="00E44315">
              <w:rPr>
                <w:rFonts w:ascii="Times New Roman" w:hAnsi="Times New Roman"/>
                <w:sz w:val="24"/>
                <w:szCs w:val="24"/>
                <w:lang w:val="lt-LT"/>
              </w:rPr>
              <w:t>Kriterijai, nustatant geriausius prieinamus gamybos būdus, pateikti šių Taisyklių 6 priede.“</w:t>
            </w:r>
          </w:p>
          <w:p w:rsidR="00A24766" w:rsidRPr="00E44315" w:rsidRDefault="00A24766" w:rsidP="00213654">
            <w:pPr>
              <w:pStyle w:val="Pagrindinistekstas1"/>
              <w:rPr>
                <w:rFonts w:ascii="Times New Roman" w:hAnsi="Times New Roman"/>
                <w:sz w:val="24"/>
                <w:szCs w:val="24"/>
                <w:lang w:val="lt-LT"/>
              </w:rPr>
            </w:pPr>
            <w:r w:rsidRPr="00E44315">
              <w:rPr>
                <w:rFonts w:ascii="Times New Roman" w:hAnsi="Times New Roman"/>
                <w:sz w:val="24"/>
                <w:szCs w:val="24"/>
                <w:lang w:val="lt-LT"/>
              </w:rPr>
              <w:t>„12.3. išduodant ar atnaujinant leidimą, RAAD privalo patikrinti, ar veiklos vykdytojo naudojama technologija, veiklos metodai ir taršos prevencijos priemonės atitinka ES GPGB dokumentuose nustatytus reikalavimus;“</w:t>
            </w:r>
          </w:p>
          <w:p w:rsidR="008D7444" w:rsidRPr="00E44315" w:rsidRDefault="00A24766" w:rsidP="00213654">
            <w:pPr>
              <w:jc w:val="both"/>
              <w:rPr>
                <w:rFonts w:ascii="Times New Roman" w:hAnsi="Times New Roman" w:cs="Times New Roman"/>
                <w:sz w:val="24"/>
                <w:szCs w:val="24"/>
              </w:rPr>
            </w:pPr>
            <w:r w:rsidRPr="00E44315">
              <w:rPr>
                <w:rFonts w:ascii="Times New Roman" w:hAnsi="Times New Roman" w:cs="Times New Roman"/>
                <w:sz w:val="24"/>
                <w:szCs w:val="24"/>
              </w:rPr>
              <w:t>3) Į TIPK taisyklių 35-37 ir 43.3.5. punktą perkelta Direktyvos 9 str. 4 dalies nuostata dėl tolimųjų arba tarpvalstybinių teršalų pernašų. Aplinkos ministro 2008 m. sausio 31 d. įsakymu Nr. D1-89 (Žin., 2008, Nr. 17-613) patvirtinta nacionalinė į atmosferą išmetamo teršalų kiekio valdymo (ribojimo) programa</w:t>
            </w:r>
          </w:p>
        </w:tc>
      </w:tr>
      <w:tr w:rsidR="008D7444" w:rsidRPr="00E44315" w:rsidTr="0049617E">
        <w:trPr>
          <w:trHeight w:val="44"/>
        </w:trPr>
        <w:tc>
          <w:tcPr>
            <w:tcW w:w="1276" w:type="dxa"/>
          </w:tcPr>
          <w:p w:rsidR="008D7444" w:rsidRPr="00E44315" w:rsidRDefault="0096093C" w:rsidP="00213654">
            <w:pPr>
              <w:jc w:val="both"/>
              <w:rPr>
                <w:rFonts w:ascii="Times New Roman" w:hAnsi="Times New Roman" w:cs="Times New Roman"/>
                <w:sz w:val="24"/>
                <w:szCs w:val="24"/>
              </w:rPr>
            </w:pPr>
            <w:r w:rsidRPr="00E44315">
              <w:rPr>
                <w:rFonts w:ascii="Times New Roman" w:hAnsi="Times New Roman" w:cs="Times New Roman"/>
                <w:sz w:val="24"/>
                <w:szCs w:val="24"/>
              </w:rPr>
              <w:lastRenderedPageBreak/>
              <w:t>5</w:t>
            </w:r>
            <w:r w:rsidR="00356767" w:rsidRPr="00E44315">
              <w:rPr>
                <w:rFonts w:ascii="Times New Roman" w:hAnsi="Times New Roman" w:cs="Times New Roman"/>
                <w:sz w:val="24"/>
                <w:szCs w:val="24"/>
              </w:rPr>
              <w:t>.2.1</w:t>
            </w:r>
          </w:p>
        </w:tc>
        <w:tc>
          <w:tcPr>
            <w:tcW w:w="3741" w:type="dxa"/>
          </w:tcPr>
          <w:p w:rsidR="0096093C" w:rsidRPr="00E44315" w:rsidRDefault="0096093C" w:rsidP="00213654">
            <w:pPr>
              <w:pStyle w:val="prastasiniatinklio"/>
              <w:spacing w:before="0" w:beforeAutospacing="0" w:after="0" w:afterAutospacing="0"/>
            </w:pPr>
            <w:r w:rsidRPr="00E44315">
              <w:t>Kaip nustatant geriausius prieinamus gamybos būdus apskritai arba konkrečiais atvejais atsižvelgta į Komisijos, remiantis 17 straipsnio 2 dalimi, paskelbtą informaciją?</w:t>
            </w:r>
          </w:p>
          <w:p w:rsidR="008D7444" w:rsidRPr="00E44315" w:rsidRDefault="008D7444" w:rsidP="00213654">
            <w:pPr>
              <w:pStyle w:val="prastasiniatinklio"/>
              <w:spacing w:before="0" w:beforeAutospacing="0" w:after="0" w:afterAutospacing="0"/>
            </w:pPr>
          </w:p>
        </w:tc>
        <w:tc>
          <w:tcPr>
            <w:tcW w:w="4758" w:type="dxa"/>
          </w:tcPr>
          <w:p w:rsidR="008D7444" w:rsidRPr="00E44315" w:rsidRDefault="00E9424B" w:rsidP="00213654">
            <w:pPr>
              <w:jc w:val="both"/>
              <w:rPr>
                <w:rFonts w:ascii="Times New Roman" w:hAnsi="Times New Roman" w:cs="Times New Roman"/>
                <w:sz w:val="24"/>
                <w:szCs w:val="24"/>
              </w:rPr>
            </w:pPr>
            <w:r w:rsidRPr="00E44315">
              <w:rPr>
                <w:rFonts w:ascii="Times New Roman" w:hAnsi="Times New Roman" w:cs="Times New Roman"/>
                <w:sz w:val="24"/>
                <w:szCs w:val="24"/>
              </w:rPr>
              <w:t xml:space="preserve">Geriausių prieinamų gamybos būdų informaciniai dokumentai, jų santraukos ir išvados lietuvių kalba talpinami Aplinkos apsaugos agentūros interneto tinklalapyje </w:t>
            </w:r>
            <w:r w:rsidRPr="00B60516">
              <w:rPr>
                <w:rFonts w:ascii="Times New Roman" w:hAnsi="Times New Roman" w:cs="Times New Roman"/>
                <w:sz w:val="24"/>
                <w:szCs w:val="24"/>
              </w:rPr>
              <w:t>(</w:t>
            </w:r>
            <w:hyperlink r:id="rId7" w:history="1">
              <w:r w:rsidRPr="00B60516">
                <w:rPr>
                  <w:rStyle w:val="Hipersaitas"/>
                  <w:rFonts w:ascii="Times New Roman" w:hAnsi="Times New Roman" w:cs="Times New Roman"/>
                  <w:color w:val="auto"/>
                  <w:sz w:val="24"/>
                  <w:szCs w:val="24"/>
                </w:rPr>
                <w:t>http://gamta.lt/cms/index?rubricId=70160852-bcfc-4e18-881e-01868bf61adb</w:t>
              </w:r>
            </w:hyperlink>
            <w:r w:rsidRPr="00E44315">
              <w:rPr>
                <w:rFonts w:ascii="Times New Roman" w:hAnsi="Times New Roman" w:cs="Times New Roman"/>
                <w:color w:val="000000"/>
                <w:sz w:val="24"/>
                <w:szCs w:val="24"/>
              </w:rPr>
              <w:t xml:space="preserve">. </w:t>
            </w:r>
            <w:r w:rsidRPr="00E44315">
              <w:rPr>
                <w:rFonts w:ascii="Times New Roman" w:hAnsi="Times New Roman" w:cs="Times New Roman"/>
                <w:sz w:val="24"/>
                <w:szCs w:val="24"/>
              </w:rPr>
              <w:t xml:space="preserve">Šiais GPGB ID naudojasi tiek veiklos vykdytojai, priklausomai nuo aplinkybių pasirinkdami konkretų gamybos būdą, tiek ir leidimus rengiantys specialistai, nustatydami teršalų išmetimo ribines vertes bei kitus leidimų reikalavimus. Leidimo rengimo pradžioje teršalų išmetimo ribinės vertės, aprašytos GPGB ID, palyginamos su konkretaus įrenginio teršalų išmetimo vertėmis. Aplinkosaugos veiksmų planą veiklos </w:t>
            </w:r>
            <w:r w:rsidRPr="00E44315">
              <w:rPr>
                <w:rFonts w:ascii="Times New Roman" w:hAnsi="Times New Roman" w:cs="Times New Roman"/>
                <w:sz w:val="24"/>
                <w:szCs w:val="24"/>
              </w:rPr>
              <w:lastRenderedPageBreak/>
              <w:t>vykdytojas rengia tokio palyginimo pagrindu, aptardamas jį su RAAD.</w:t>
            </w:r>
          </w:p>
        </w:tc>
      </w:tr>
      <w:tr w:rsidR="00D97E14" w:rsidRPr="00E44315" w:rsidTr="0049617E">
        <w:tc>
          <w:tcPr>
            <w:tcW w:w="1276" w:type="dxa"/>
          </w:tcPr>
          <w:p w:rsidR="00156431" w:rsidRPr="00E44315" w:rsidRDefault="00D33A7E" w:rsidP="00213654">
            <w:pPr>
              <w:jc w:val="both"/>
              <w:rPr>
                <w:rFonts w:ascii="Times New Roman" w:hAnsi="Times New Roman" w:cs="Times New Roman"/>
                <w:sz w:val="24"/>
                <w:szCs w:val="24"/>
              </w:rPr>
            </w:pPr>
            <w:r w:rsidRPr="00E44315">
              <w:rPr>
                <w:rFonts w:ascii="Times New Roman" w:hAnsi="Times New Roman" w:cs="Times New Roman"/>
                <w:sz w:val="24"/>
                <w:szCs w:val="24"/>
              </w:rPr>
              <w:lastRenderedPageBreak/>
              <w:t>5.2.2</w:t>
            </w:r>
          </w:p>
        </w:tc>
        <w:tc>
          <w:tcPr>
            <w:tcW w:w="3741" w:type="dxa"/>
          </w:tcPr>
          <w:p w:rsidR="00D33A7E" w:rsidRPr="00E44315" w:rsidRDefault="00D33A7E" w:rsidP="00213654">
            <w:pPr>
              <w:pStyle w:val="prastasiniatinklio"/>
              <w:spacing w:before="0" w:beforeAutospacing="0" w:after="0" w:afterAutospacing="0"/>
            </w:pPr>
            <w:r w:rsidRPr="00E44315">
              <w:t>Kaip konkrečiai GPGB informaciniai dokumentai naudojami nustatant leidimų sąlygas?</w:t>
            </w:r>
          </w:p>
          <w:p w:rsidR="00156431" w:rsidRPr="00E44315" w:rsidRDefault="00156431" w:rsidP="00213654">
            <w:pPr>
              <w:jc w:val="both"/>
              <w:rPr>
                <w:rFonts w:ascii="Times New Roman" w:hAnsi="Times New Roman" w:cs="Times New Roman"/>
                <w:sz w:val="24"/>
                <w:szCs w:val="24"/>
              </w:rPr>
            </w:pPr>
          </w:p>
        </w:tc>
        <w:tc>
          <w:tcPr>
            <w:tcW w:w="4758" w:type="dxa"/>
          </w:tcPr>
          <w:p w:rsidR="00156431" w:rsidRPr="00E44315" w:rsidRDefault="00AC79F7" w:rsidP="00213654">
            <w:pPr>
              <w:jc w:val="both"/>
              <w:rPr>
                <w:rFonts w:ascii="Times New Roman" w:hAnsi="Times New Roman" w:cs="Times New Roman"/>
                <w:sz w:val="24"/>
                <w:szCs w:val="24"/>
              </w:rPr>
            </w:pPr>
            <w:r w:rsidRPr="00E44315">
              <w:rPr>
                <w:rFonts w:ascii="Times New Roman" w:hAnsi="Times New Roman" w:cs="Times New Roman"/>
                <w:sz w:val="24"/>
                <w:szCs w:val="24"/>
              </w:rPr>
              <w:t>GPGB ID naudojasi tiek veiklos vykdytojai, priklausomai nuo aplinkybių pasirinkdami konkretų gamybos būdą, tiek ir leidimus rengiantys specialistai, nustatydami teršalų išmetimo ribines vertes bei kitus leidimų reikalavimus. Leidimo rengimo metu teršalų išmetimo ribinės vertės, aprašytos GPGB ID, palyginamos su konkretaus įrenginio teršalų išmetimo lygiais. Sprendžiant klausimą, kaip sumažinti didelę taršą, su veiklos vykdytoju aptariamos galimybės įgyvendinti ir kitus GPGB, aprašytus minėtame informaciniame dokumente. Derybų ir susitarimų rezultatas – parengtas ir Leidimo dalimi tampantis Aplinkosaugos veiksmų planas.</w:t>
            </w:r>
          </w:p>
        </w:tc>
      </w:tr>
      <w:tr w:rsidR="009C0A92" w:rsidRPr="00E44315" w:rsidTr="0049617E">
        <w:tc>
          <w:tcPr>
            <w:tcW w:w="1276" w:type="dxa"/>
          </w:tcPr>
          <w:p w:rsidR="009C0A92" w:rsidRPr="00E44315" w:rsidRDefault="00D20AE6" w:rsidP="00213654">
            <w:pPr>
              <w:rPr>
                <w:rFonts w:ascii="Times New Roman" w:hAnsi="Times New Roman" w:cs="Times New Roman"/>
                <w:sz w:val="24"/>
                <w:szCs w:val="24"/>
              </w:rPr>
            </w:pPr>
            <w:r w:rsidRPr="00E44315">
              <w:rPr>
                <w:rFonts w:ascii="Times New Roman" w:hAnsi="Times New Roman" w:cs="Times New Roman"/>
                <w:sz w:val="24"/>
                <w:szCs w:val="24"/>
              </w:rPr>
              <w:t>5.3.a)</w:t>
            </w:r>
          </w:p>
        </w:tc>
        <w:tc>
          <w:tcPr>
            <w:tcW w:w="3741" w:type="dxa"/>
          </w:tcPr>
          <w:p w:rsidR="00D20AE6" w:rsidRPr="00E44315" w:rsidRDefault="00D20AE6"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Ar nustatant leidimų sąlygas atsižvelgta į aplinkosaugos vadybos sistemas? Jei taip, tai kaip?</w:t>
            </w:r>
          </w:p>
          <w:p w:rsidR="009C0A92" w:rsidRPr="00E44315" w:rsidRDefault="009C0A92" w:rsidP="00213654">
            <w:pPr>
              <w:rPr>
                <w:rFonts w:ascii="Times New Roman" w:hAnsi="Times New Roman" w:cs="Times New Roman"/>
                <w:sz w:val="24"/>
                <w:szCs w:val="24"/>
              </w:rPr>
            </w:pPr>
          </w:p>
        </w:tc>
        <w:tc>
          <w:tcPr>
            <w:tcW w:w="4758" w:type="dxa"/>
          </w:tcPr>
          <w:p w:rsidR="009C0A92" w:rsidRPr="00E44315" w:rsidRDefault="002B709B" w:rsidP="00213654">
            <w:pPr>
              <w:rPr>
                <w:rFonts w:ascii="Times New Roman" w:hAnsi="Times New Roman" w:cs="Times New Roman"/>
                <w:sz w:val="24"/>
                <w:szCs w:val="24"/>
              </w:rPr>
            </w:pPr>
            <w:r w:rsidRPr="00E44315">
              <w:rPr>
                <w:rFonts w:ascii="Times New Roman" w:hAnsi="Times New Roman" w:cs="Times New Roman"/>
                <w:sz w:val="24"/>
                <w:szCs w:val="24"/>
              </w:rPr>
              <w:t>Nustatant leidimų reikalavimus, į aplinkos vadybos sistemas neatsižvelgiama.</w:t>
            </w:r>
          </w:p>
        </w:tc>
      </w:tr>
      <w:tr w:rsidR="009C0A92" w:rsidRPr="00E44315" w:rsidTr="0049617E">
        <w:tc>
          <w:tcPr>
            <w:tcW w:w="1276" w:type="dxa"/>
          </w:tcPr>
          <w:p w:rsidR="009C0A92" w:rsidRPr="00E44315" w:rsidRDefault="003866D7" w:rsidP="00213654">
            <w:pPr>
              <w:rPr>
                <w:rFonts w:ascii="Times New Roman" w:hAnsi="Times New Roman" w:cs="Times New Roman"/>
                <w:sz w:val="24"/>
                <w:szCs w:val="24"/>
              </w:rPr>
            </w:pPr>
            <w:r w:rsidRPr="00E44315">
              <w:rPr>
                <w:rFonts w:ascii="Times New Roman" w:hAnsi="Times New Roman" w:cs="Times New Roman"/>
                <w:sz w:val="24"/>
                <w:szCs w:val="24"/>
              </w:rPr>
              <w:t>5.3. b)</w:t>
            </w:r>
          </w:p>
        </w:tc>
        <w:tc>
          <w:tcPr>
            <w:tcW w:w="3741" w:type="dxa"/>
          </w:tcPr>
          <w:p w:rsidR="003866D7" w:rsidRPr="00E44315" w:rsidRDefault="003866D7" w:rsidP="00213654">
            <w:pPr>
              <w:pStyle w:val="prastasiniatinklio"/>
              <w:spacing w:before="0" w:beforeAutospacing="0" w:after="0" w:afterAutospacing="0"/>
            </w:pPr>
            <w:r w:rsidRPr="00E44315">
              <w:t>Kokios leidimų sąlygos ar kitos priemonės paprastai taikytos siekiant 3 straipsnio 1 dalies f punkte nurodytų tikslų (atkurti veiklos vietos būklę, kai veikla visiškai nutraukiama) ir kaip jos praktiškai įgyvendintos?</w:t>
            </w:r>
          </w:p>
          <w:p w:rsidR="009C0A92" w:rsidRPr="00E44315" w:rsidRDefault="009C0A92" w:rsidP="00213654">
            <w:pPr>
              <w:rPr>
                <w:rFonts w:ascii="Times New Roman" w:hAnsi="Times New Roman" w:cs="Times New Roman"/>
                <w:sz w:val="24"/>
                <w:szCs w:val="24"/>
              </w:rPr>
            </w:pPr>
          </w:p>
        </w:tc>
        <w:tc>
          <w:tcPr>
            <w:tcW w:w="4758" w:type="dxa"/>
          </w:tcPr>
          <w:p w:rsidR="00474E43" w:rsidRPr="00E44315" w:rsidRDefault="00474E43" w:rsidP="00213654">
            <w:pPr>
              <w:snapToGrid w:val="0"/>
              <w:jc w:val="both"/>
              <w:rPr>
                <w:rFonts w:ascii="Times New Roman" w:hAnsi="Times New Roman" w:cs="Times New Roman"/>
                <w:sz w:val="24"/>
                <w:szCs w:val="24"/>
              </w:rPr>
            </w:pPr>
            <w:r w:rsidRPr="00E44315">
              <w:rPr>
                <w:rFonts w:ascii="Times New Roman" w:hAnsi="Times New Roman" w:cs="Times New Roman"/>
                <w:sz w:val="24"/>
                <w:szCs w:val="24"/>
              </w:rPr>
              <w:t>Vadovaujantis TIPK taisyklių 11.7 punktu, TIPK leidimuose nustatomos priemonės galimai aplinkos ir jos elementų taršai išvengti ar ją riboti ar mažinti, esant neįprastoms (neatitiktinėms) ūkinės veiklos sąlygoms, taip pat priemonės veiklos vietos būklės atkūrimui iki visiško veiklos nutraukimo.</w:t>
            </w:r>
          </w:p>
          <w:p w:rsidR="00474E43" w:rsidRDefault="00474E43" w:rsidP="00213654">
            <w:pPr>
              <w:jc w:val="both"/>
              <w:rPr>
                <w:rFonts w:ascii="Times New Roman" w:hAnsi="Times New Roman" w:cs="Times New Roman"/>
                <w:sz w:val="24"/>
                <w:szCs w:val="24"/>
              </w:rPr>
            </w:pPr>
            <w:r w:rsidRPr="00E44315">
              <w:rPr>
                <w:rFonts w:ascii="Times New Roman" w:hAnsi="Times New Roman" w:cs="Times New Roman"/>
                <w:sz w:val="24"/>
                <w:szCs w:val="24"/>
              </w:rPr>
              <w:t>Vadovaujantis aplinkos ministro 2003 m. rugsėjo 25 d. įsakymu Nr. 469 „Dėl a</w:t>
            </w:r>
            <w:hyperlink r:id="rId8" w:anchor="_blank" w:history="1">
              <w:r w:rsidRPr="00E44315">
                <w:rPr>
                  <w:rStyle w:val="Hipersaitas"/>
                  <w:rFonts w:ascii="Times New Roman" w:hAnsi="Times New Roman" w:cs="Times New Roman"/>
                  <w:color w:val="auto"/>
                  <w:sz w:val="24"/>
                  <w:szCs w:val="24"/>
                </w:rPr>
                <w:t>tliekų tvarkymo veiklos nutraukimo plano rengimo, derinimo ir įgyvendinimo tvarkos patvirtinimo“ (Žin., 2003, Nr. 99-4466), atliekas</w:t>
              </w:r>
            </w:hyperlink>
            <w:r w:rsidRPr="00E44315">
              <w:rPr>
                <w:rFonts w:ascii="Times New Roman" w:hAnsi="Times New Roman" w:cs="Times New Roman"/>
                <w:sz w:val="24"/>
                <w:szCs w:val="24"/>
              </w:rPr>
              <w:t xml:space="preserve"> naudojančios ir (ar) šalinančios įmonės, taip pat įmonės, kurios surenka ir (ar) gamina bei saugo pavojingas atliekas ilgiau kaip tris mėnesius, nepavojingas – ilgiau kaip vienerius metus nuo jų susidarymo bei žemės gelmių naudotojai, kurie pagal aplinkos ministro įsakymu patvirtintą Kasybos pramonės atliekų tvarkymo tvarkos aprašą privalo turėti TIPK leidimą kasybos pramonės atliekoms tvarkyti, yra įpareigoti parengti atliekų tvarkymo veiklos nutraukimo planą (toliau – Planas). Planas pateikiamas Aplinkos ministerijos regiono aplinkos apsaugos departamentui kartu su paraiška TIPK leidimui gauti, atnaujinti ar koreguoti. Plane privalo būti nurodyta: 1) didžiausias planuojamas saugoti atliekų kiekis; 2) kiekvienos atliekos didžiausias planuojamas </w:t>
            </w:r>
            <w:r w:rsidRPr="00E44315">
              <w:rPr>
                <w:rFonts w:ascii="Times New Roman" w:hAnsi="Times New Roman" w:cs="Times New Roman"/>
                <w:sz w:val="24"/>
                <w:szCs w:val="24"/>
              </w:rPr>
              <w:lastRenderedPageBreak/>
              <w:t>saugoti kiekis, jų sutvarkymo būdai įmonės bankroto atveju, taip pat kai panaikinamas arba sustabdomas TIPK leidimo galiojimas, ar kitais atvejais, kai įmonė nebetęsia veiklos; 3) atliekų saugojimo, naudojimo ir (ar) šalinimo įrenginių uždarymo bei sutvarkymo būdai, priemonės ir išlaidos; 4) atliekų saugojimo, naudojimo ir (ar) šalinimo įrenginių priežiūros po uždarymo priemonės, trukmė ir išlaidos; 5) numatytų priemonių  įgyvendinimo grafikas ir sąmata; 6) įmonės įsipareigojimas raštu pranešti Aplinkos ministerijos regiono aplinkos apsaugos departamentui apie Plane numatytų priemonių įgyvendinimo pradžią ir pabaigą. Kai Aplinkos ministerijos regiono aplinkos apsaugos departamentas pritaria Planui, įmonė yra įpareigota pateikti banko garantiją ar draudimo liudijimą (polisą), patvirtinantį galiojančią Plane numatytų priemonių įgyvendinimo laidavimo draudimo sutartį. Garantija turi būti suteikta sumai, ne mažesnei, negu nurodyta suderinto Plano priemonių įgyvendinimo sąmatoje.</w:t>
            </w:r>
          </w:p>
          <w:p w:rsidR="00187AD5" w:rsidRPr="00E44315" w:rsidRDefault="00187AD5" w:rsidP="00213654">
            <w:pPr>
              <w:jc w:val="both"/>
              <w:rPr>
                <w:rFonts w:ascii="Times New Roman" w:hAnsi="Times New Roman" w:cs="Times New Roman"/>
                <w:sz w:val="24"/>
                <w:szCs w:val="24"/>
              </w:rPr>
            </w:pPr>
            <w:r>
              <w:rPr>
                <w:rFonts w:ascii="Times New Roman" w:hAnsi="Times New Roman" w:cs="Times New Roman"/>
                <w:sz w:val="24"/>
                <w:szCs w:val="24"/>
              </w:rPr>
              <w:t>Veiklos vietos būklė privalo būti įvertinama ir atkuriama (jei tapo užteršta) vadovaujantis Cheminėmis medžiagomis užterštų teritorijų tvarkymo aplinkos apsaugos reikalavimais (Žin., 2008, Nr. 53-1987)</w:t>
            </w:r>
            <w:r w:rsidR="000B474E">
              <w:rPr>
                <w:rFonts w:ascii="Times New Roman" w:hAnsi="Times New Roman" w:cs="Times New Roman"/>
                <w:sz w:val="24"/>
                <w:szCs w:val="24"/>
              </w:rPr>
              <w:t xml:space="preserve">. </w:t>
            </w:r>
          </w:p>
          <w:p w:rsidR="009C0A92" w:rsidRDefault="00474E43" w:rsidP="00187AD5">
            <w:pPr>
              <w:rPr>
                <w:rFonts w:ascii="Times New Roman" w:hAnsi="Times New Roman" w:cs="Times New Roman"/>
                <w:sz w:val="24"/>
                <w:szCs w:val="24"/>
              </w:rPr>
            </w:pPr>
            <w:r w:rsidRPr="00E44315">
              <w:rPr>
                <w:rFonts w:ascii="Times New Roman" w:hAnsi="Times New Roman" w:cs="Times New Roman"/>
                <w:sz w:val="24"/>
                <w:szCs w:val="24"/>
              </w:rPr>
              <w:t xml:space="preserve">Reikalavimas po veiklos nutraukimo palikti veiklos vietą tinkamą tolesniam naudojimui </w:t>
            </w:r>
            <w:r w:rsidR="00FF0802" w:rsidRPr="00E44315">
              <w:rPr>
                <w:rFonts w:ascii="Times New Roman" w:hAnsi="Times New Roman" w:cs="Times New Roman"/>
                <w:sz w:val="24"/>
                <w:szCs w:val="24"/>
              </w:rPr>
              <w:t xml:space="preserve">ataskaitiniu laikotarpiu leidimuose </w:t>
            </w:r>
            <w:r w:rsidRPr="00E44315">
              <w:rPr>
                <w:rFonts w:ascii="Times New Roman" w:hAnsi="Times New Roman" w:cs="Times New Roman"/>
                <w:sz w:val="24"/>
                <w:szCs w:val="24"/>
              </w:rPr>
              <w:t xml:space="preserve">taikytas sąvartynams ir kai kuriems atliekų tvarkytojams. </w:t>
            </w:r>
          </w:p>
          <w:p w:rsidR="000B474E" w:rsidRPr="00E44315" w:rsidRDefault="000B474E" w:rsidP="00187AD5">
            <w:pPr>
              <w:rPr>
                <w:rFonts w:ascii="Times New Roman" w:hAnsi="Times New Roman" w:cs="Times New Roman"/>
                <w:sz w:val="24"/>
                <w:szCs w:val="24"/>
              </w:rPr>
            </w:pPr>
            <w:r>
              <w:rPr>
                <w:rFonts w:ascii="Times New Roman" w:hAnsi="Times New Roman" w:cs="Times New Roman"/>
                <w:sz w:val="24"/>
                <w:szCs w:val="24"/>
              </w:rPr>
              <w:t xml:space="preserve">Ataskaitiniu laikotarpiu nebuvo </w:t>
            </w:r>
            <w:r w:rsidR="00AC77BC">
              <w:rPr>
                <w:rFonts w:ascii="Times New Roman" w:hAnsi="Times New Roman" w:cs="Times New Roman"/>
                <w:sz w:val="24"/>
                <w:szCs w:val="24"/>
              </w:rPr>
              <w:t xml:space="preserve">praktinių </w:t>
            </w:r>
            <w:r>
              <w:rPr>
                <w:rFonts w:ascii="Times New Roman" w:hAnsi="Times New Roman" w:cs="Times New Roman"/>
                <w:sz w:val="24"/>
                <w:szCs w:val="24"/>
              </w:rPr>
              <w:t>atvejų</w:t>
            </w:r>
            <w:r w:rsidR="00AC77BC">
              <w:rPr>
                <w:rFonts w:ascii="Times New Roman" w:hAnsi="Times New Roman" w:cs="Times New Roman"/>
                <w:sz w:val="24"/>
                <w:szCs w:val="24"/>
              </w:rPr>
              <w:t>, kuomet veiklos vykdytojas nutraukė veiklą, tačiau paliko užterštą teritoriją, kur</w:t>
            </w:r>
            <w:r w:rsidR="00B46D94">
              <w:rPr>
                <w:rFonts w:ascii="Times New Roman" w:hAnsi="Times New Roman" w:cs="Times New Roman"/>
                <w:sz w:val="24"/>
                <w:szCs w:val="24"/>
              </w:rPr>
              <w:t>ią reikėjo po to išvalyti.</w:t>
            </w:r>
          </w:p>
        </w:tc>
      </w:tr>
      <w:tr w:rsidR="009C0A92" w:rsidRPr="00E44315" w:rsidTr="0049617E">
        <w:tc>
          <w:tcPr>
            <w:tcW w:w="1276" w:type="dxa"/>
          </w:tcPr>
          <w:p w:rsidR="009C0A92" w:rsidRPr="00E44315" w:rsidRDefault="00B94F38" w:rsidP="00213654">
            <w:pPr>
              <w:rPr>
                <w:rFonts w:ascii="Times New Roman" w:hAnsi="Times New Roman" w:cs="Times New Roman"/>
                <w:sz w:val="24"/>
                <w:szCs w:val="24"/>
              </w:rPr>
            </w:pPr>
            <w:r w:rsidRPr="00E44315">
              <w:rPr>
                <w:rFonts w:ascii="Times New Roman" w:hAnsi="Times New Roman" w:cs="Times New Roman"/>
                <w:sz w:val="24"/>
                <w:szCs w:val="24"/>
              </w:rPr>
              <w:lastRenderedPageBreak/>
              <w:t>5.3. c)</w:t>
            </w:r>
          </w:p>
        </w:tc>
        <w:tc>
          <w:tcPr>
            <w:tcW w:w="3741" w:type="dxa"/>
          </w:tcPr>
          <w:p w:rsidR="00455C48" w:rsidRPr="00E44315" w:rsidRDefault="00455C48" w:rsidP="00213654">
            <w:pPr>
              <w:pStyle w:val="prastasiniatinklio"/>
              <w:spacing w:before="0" w:beforeAutospacing="0" w:after="0" w:afterAutospacing="0"/>
            </w:pPr>
            <w:r w:rsidRPr="00E44315">
              <w:t>Kokios leidimų sąlygos, susijusios su energijos naudojimo efektyvumu, yra paprastai nustatomos (3 straipsnio 1 dalies d punktas)?</w:t>
            </w:r>
          </w:p>
          <w:p w:rsidR="009C0A92" w:rsidRPr="00E44315" w:rsidRDefault="009C0A92" w:rsidP="00213654">
            <w:pPr>
              <w:rPr>
                <w:rFonts w:ascii="Times New Roman" w:hAnsi="Times New Roman" w:cs="Times New Roman"/>
                <w:sz w:val="24"/>
                <w:szCs w:val="24"/>
              </w:rPr>
            </w:pPr>
          </w:p>
        </w:tc>
        <w:tc>
          <w:tcPr>
            <w:tcW w:w="4758" w:type="dxa"/>
          </w:tcPr>
          <w:p w:rsidR="009C0A92" w:rsidRPr="00E44315" w:rsidRDefault="00E47B13" w:rsidP="00213654">
            <w:pPr>
              <w:rPr>
                <w:rFonts w:ascii="Times New Roman" w:hAnsi="Times New Roman" w:cs="Times New Roman"/>
                <w:sz w:val="24"/>
                <w:szCs w:val="24"/>
              </w:rPr>
            </w:pPr>
            <w:r w:rsidRPr="00E44315">
              <w:rPr>
                <w:rFonts w:ascii="Times New Roman" w:hAnsi="Times New Roman" w:cs="Times New Roman"/>
                <w:sz w:val="24"/>
                <w:szCs w:val="24"/>
              </w:rPr>
              <w:t>Ataskaitiniu laikotarpiu buvo nustatomi leidimo reikalavimai susiję su įrengimų, naudojančių daug energijos pakeitimu ekonomiškais įrenginiais, su kuro degiklių pakeitimu modernesniais degikliais, su kondensacinio ekonomaizerio įdiegimu katile, kuro drėgmės mažinimu, apšvietimo įrangos pakeitimu, siurblių ir ventiliatorių darbo režimo reglamentavimu, elektros suvartojimo periodiniu registravimu.</w:t>
            </w:r>
          </w:p>
        </w:tc>
      </w:tr>
      <w:tr w:rsidR="009C0A92" w:rsidRPr="00E44315" w:rsidTr="0049617E">
        <w:tc>
          <w:tcPr>
            <w:tcW w:w="1276" w:type="dxa"/>
          </w:tcPr>
          <w:p w:rsidR="009C0A92" w:rsidRPr="00E44315" w:rsidRDefault="00B94F38" w:rsidP="00213654">
            <w:pPr>
              <w:rPr>
                <w:rFonts w:ascii="Times New Roman" w:hAnsi="Times New Roman" w:cs="Times New Roman"/>
                <w:sz w:val="24"/>
                <w:szCs w:val="24"/>
              </w:rPr>
            </w:pPr>
            <w:r w:rsidRPr="00E44315">
              <w:rPr>
                <w:rFonts w:ascii="Times New Roman" w:hAnsi="Times New Roman" w:cs="Times New Roman"/>
                <w:sz w:val="24"/>
                <w:szCs w:val="24"/>
              </w:rPr>
              <w:t>5.3. d)</w:t>
            </w:r>
          </w:p>
        </w:tc>
        <w:tc>
          <w:tcPr>
            <w:tcW w:w="3741" w:type="dxa"/>
          </w:tcPr>
          <w:p w:rsidR="00B94F38" w:rsidRPr="00E44315" w:rsidRDefault="00B94F38" w:rsidP="00213654">
            <w:pPr>
              <w:pStyle w:val="prastasiniatinklio"/>
              <w:spacing w:before="0" w:beforeAutospacing="0" w:after="0" w:afterAutospacing="0"/>
            </w:pPr>
            <w:r w:rsidRPr="00E44315">
              <w:t xml:space="preserve">Ar pasinaudota 9 straipsnio 3 dalyje nustatyta galimybe netaikyti reikalavimų, susijusių su energijos </w:t>
            </w:r>
            <w:r w:rsidRPr="00E44315">
              <w:lastRenderedPageBreak/>
              <w:t>naudojimo efektyvumu? Jei taip, kaip tai įgyvendinta?</w:t>
            </w:r>
          </w:p>
          <w:p w:rsidR="009C0A92" w:rsidRPr="00E44315" w:rsidRDefault="009C0A92" w:rsidP="00213654">
            <w:pPr>
              <w:rPr>
                <w:rFonts w:ascii="Times New Roman" w:hAnsi="Times New Roman" w:cs="Times New Roman"/>
                <w:sz w:val="24"/>
                <w:szCs w:val="24"/>
              </w:rPr>
            </w:pPr>
          </w:p>
        </w:tc>
        <w:tc>
          <w:tcPr>
            <w:tcW w:w="4758" w:type="dxa"/>
          </w:tcPr>
          <w:p w:rsidR="009C0A92" w:rsidRPr="00E44315" w:rsidRDefault="00C3576D" w:rsidP="00756ED9">
            <w:pPr>
              <w:rPr>
                <w:rFonts w:ascii="Times New Roman" w:hAnsi="Times New Roman" w:cs="Times New Roman"/>
                <w:sz w:val="24"/>
                <w:szCs w:val="24"/>
              </w:rPr>
            </w:pPr>
            <w:r>
              <w:rPr>
                <w:rFonts w:ascii="Times New Roman" w:hAnsi="Times New Roman" w:cs="Times New Roman"/>
                <w:sz w:val="24"/>
                <w:szCs w:val="24"/>
              </w:rPr>
              <w:lastRenderedPageBreak/>
              <w:t>Šia galimybe pasinaudota, ir su</w:t>
            </w:r>
            <w:r w:rsidR="001F03A6" w:rsidRPr="00E44315">
              <w:rPr>
                <w:rFonts w:ascii="Times New Roman" w:hAnsi="Times New Roman" w:cs="Times New Roman"/>
                <w:sz w:val="24"/>
                <w:szCs w:val="24"/>
              </w:rPr>
              <w:t xml:space="preserve"> energetiniu naudingumo koeficientu susiję reikalavimai </w:t>
            </w:r>
            <w:r w:rsidR="00756ED9">
              <w:rPr>
                <w:rFonts w:ascii="Times New Roman" w:hAnsi="Times New Roman" w:cs="Times New Roman"/>
                <w:sz w:val="24"/>
                <w:szCs w:val="24"/>
              </w:rPr>
              <w:t xml:space="preserve">leidimuose </w:t>
            </w:r>
            <w:r w:rsidR="001F03A6" w:rsidRPr="00E44315">
              <w:rPr>
                <w:rFonts w:ascii="Times New Roman" w:hAnsi="Times New Roman" w:cs="Times New Roman"/>
                <w:sz w:val="24"/>
                <w:szCs w:val="24"/>
              </w:rPr>
              <w:t xml:space="preserve">nebuvo taikomi </w:t>
            </w:r>
            <w:r w:rsidR="00756ED9">
              <w:rPr>
                <w:rFonts w:ascii="Times New Roman" w:hAnsi="Times New Roman" w:cs="Times New Roman"/>
                <w:sz w:val="24"/>
                <w:szCs w:val="24"/>
              </w:rPr>
              <w:t xml:space="preserve">Direktyvos </w:t>
            </w:r>
            <w:r w:rsidR="00756ED9">
              <w:rPr>
                <w:rFonts w:ascii="Times New Roman" w:hAnsi="Times New Roman" w:cs="Times New Roman"/>
                <w:sz w:val="24"/>
                <w:szCs w:val="24"/>
              </w:rPr>
              <w:lastRenderedPageBreak/>
              <w:t>2003/87/EB 1 priede išvardintiems įrenginiams.</w:t>
            </w:r>
          </w:p>
        </w:tc>
      </w:tr>
      <w:tr w:rsidR="00864AEB" w:rsidRPr="00E44315" w:rsidTr="0049617E">
        <w:tc>
          <w:tcPr>
            <w:tcW w:w="1276" w:type="dxa"/>
          </w:tcPr>
          <w:p w:rsidR="00864AEB" w:rsidRPr="00E44315" w:rsidRDefault="001248EC" w:rsidP="00213654">
            <w:pPr>
              <w:rPr>
                <w:rFonts w:ascii="Times New Roman" w:hAnsi="Times New Roman" w:cs="Times New Roman"/>
                <w:sz w:val="24"/>
                <w:szCs w:val="24"/>
              </w:rPr>
            </w:pPr>
            <w:r w:rsidRPr="00E44315">
              <w:rPr>
                <w:rFonts w:ascii="Times New Roman" w:hAnsi="Times New Roman" w:cs="Times New Roman"/>
                <w:sz w:val="24"/>
                <w:szCs w:val="24"/>
              </w:rPr>
              <w:lastRenderedPageBreak/>
              <w:t>6.</w:t>
            </w:r>
          </w:p>
        </w:tc>
        <w:tc>
          <w:tcPr>
            <w:tcW w:w="3741" w:type="dxa"/>
          </w:tcPr>
          <w:p w:rsidR="001248EC" w:rsidRPr="00E44315" w:rsidRDefault="001248EC" w:rsidP="00213654">
            <w:pPr>
              <w:pStyle w:val="prastasiniatinklio"/>
              <w:spacing w:before="0" w:beforeAutospacing="0" w:after="0" w:afterAutospacing="0"/>
            </w:pPr>
            <w:r w:rsidRPr="00E44315">
              <w:t>Ar pasitaikė atvejų, kai buvo taikomas 10 straipsnis, tačiau geriausių prieinamų gamybos būdų nepakako siekiant laikytis aplinkos kokybės normos (apibrėžtos 2 straipsnio 7 dalyje)? Jei taip, pateikite tokių atvejų ir papildomų priemonių, kurių imtasi, pavyzdžių.</w:t>
            </w:r>
          </w:p>
          <w:p w:rsidR="00864AEB" w:rsidRPr="00E44315" w:rsidRDefault="00864AEB" w:rsidP="00213654">
            <w:pPr>
              <w:rPr>
                <w:rFonts w:ascii="Times New Roman" w:hAnsi="Times New Roman" w:cs="Times New Roman"/>
                <w:sz w:val="24"/>
                <w:szCs w:val="24"/>
              </w:rPr>
            </w:pPr>
          </w:p>
        </w:tc>
        <w:tc>
          <w:tcPr>
            <w:tcW w:w="4758" w:type="dxa"/>
          </w:tcPr>
          <w:p w:rsidR="00864AEB" w:rsidRPr="00E44315" w:rsidRDefault="00C82859" w:rsidP="00213654">
            <w:pPr>
              <w:rPr>
                <w:rFonts w:ascii="Times New Roman" w:hAnsi="Times New Roman" w:cs="Times New Roman"/>
                <w:sz w:val="24"/>
                <w:szCs w:val="24"/>
              </w:rPr>
            </w:pPr>
            <w:r w:rsidRPr="00E44315">
              <w:rPr>
                <w:rFonts w:ascii="Times New Roman" w:hAnsi="Times New Roman" w:cs="Times New Roman"/>
                <w:sz w:val="24"/>
                <w:szCs w:val="24"/>
              </w:rPr>
              <w:t>Tokių atvejų nepasitaikė</w:t>
            </w:r>
          </w:p>
        </w:tc>
      </w:tr>
      <w:tr w:rsidR="00864AEB" w:rsidRPr="00E44315" w:rsidTr="0049617E">
        <w:tc>
          <w:tcPr>
            <w:tcW w:w="1276" w:type="dxa"/>
          </w:tcPr>
          <w:p w:rsidR="00864AEB" w:rsidRPr="00E44315" w:rsidRDefault="00D44A93" w:rsidP="00213654">
            <w:pPr>
              <w:rPr>
                <w:rFonts w:ascii="Times New Roman" w:hAnsi="Times New Roman" w:cs="Times New Roman"/>
                <w:sz w:val="24"/>
                <w:szCs w:val="24"/>
              </w:rPr>
            </w:pPr>
            <w:r w:rsidRPr="00E44315">
              <w:rPr>
                <w:rFonts w:ascii="Times New Roman" w:hAnsi="Times New Roman" w:cs="Times New Roman"/>
                <w:sz w:val="24"/>
                <w:szCs w:val="24"/>
              </w:rPr>
              <w:t>7.</w:t>
            </w:r>
          </w:p>
        </w:tc>
        <w:tc>
          <w:tcPr>
            <w:tcW w:w="3741" w:type="dxa"/>
          </w:tcPr>
          <w:p w:rsidR="003678F3" w:rsidRPr="00E44315" w:rsidRDefault="003678F3"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Kaip kompetentingos institucijos pagal 12 straipsnį praktiškai nusprendžia, ar įrenginio pakeitimas yra „eksploatavimo pakeitimas“, galintis turėti įtakos aplinkai (2 straipsnio 10 dalis), ar toks pakeitimas yra „esminis pakeitimas“, galintis turėti didelį neigiamą poveikį žmonėms arba aplinkai (2 straipsnio 11 dalis)? Nurodykite atitinkamas teisines nuostatas, rekomendacijas ar procedūras.</w:t>
            </w:r>
          </w:p>
          <w:p w:rsidR="00864AEB" w:rsidRPr="00E44315" w:rsidRDefault="00864AEB" w:rsidP="00213654">
            <w:pPr>
              <w:rPr>
                <w:rFonts w:ascii="Times New Roman" w:hAnsi="Times New Roman" w:cs="Times New Roman"/>
                <w:sz w:val="24"/>
                <w:szCs w:val="24"/>
              </w:rPr>
            </w:pPr>
          </w:p>
        </w:tc>
        <w:tc>
          <w:tcPr>
            <w:tcW w:w="4758" w:type="dxa"/>
          </w:tcPr>
          <w:p w:rsidR="00A756D7" w:rsidRPr="00E44315" w:rsidRDefault="00A756D7" w:rsidP="00213654">
            <w:pPr>
              <w:pStyle w:val="prastasiniatinklio"/>
              <w:snapToGrid w:val="0"/>
              <w:spacing w:before="0" w:beforeAutospacing="0" w:after="0" w:afterAutospacing="0"/>
              <w:jc w:val="both"/>
            </w:pPr>
            <w:r w:rsidRPr="00E44315">
              <w:t>TIPK taisyklių 5.3 punkte nurodyta, kad „esminis ūkinės veiklos pakeitimas“ – veiklos pakeitimas, kuris RAAD motyvuotu  sprendimu pripažįstamas turinčiu arba galinčiu turėti reikšmingą neigiamą  poveikį aplinkai ar/ir žmogui. Kiekvienas ūkinės veiklos pakeitimas ar išplėtimas taip pat yra laikomas esminiu, jei po pakeitimo ar išplėtimo veikla patenka į  Taisyklių 1 priedo sąrašą ir atitinka šiame   priede nustatytus ribinius dydžius, jei tokie dydžiai yra nustatyti</w:t>
            </w:r>
            <w:r w:rsidR="00DF7CF2" w:rsidRPr="00E44315">
              <w:t xml:space="preserve">, o taip pat jei nepavojingas atliekas deginanti įmonė nutaria </w:t>
            </w:r>
            <w:r w:rsidR="00646735" w:rsidRPr="00E44315">
              <w:t xml:space="preserve">tame pačiame įrenginyje </w:t>
            </w:r>
            <w:r w:rsidR="00DF7CF2" w:rsidRPr="00E44315">
              <w:t xml:space="preserve">pradėti deginti </w:t>
            </w:r>
            <w:r w:rsidR="00646735" w:rsidRPr="00E44315">
              <w:t>pavojingas atliekas</w:t>
            </w:r>
            <w:r w:rsidRPr="00E44315">
              <w:t xml:space="preserve">. Vadovaujantis TIPK taisyklių 57 punktu, veiklos vykdytojas privalo pranešti RAAD apie planuojamus įrenginio eksploatavimo pakeitimus arba veiklos vykdytojo vykdomos ūkinės veiklos esminius pasikeitimus. RAAD, gavęs aukščiau nurodytą pranešimą, įvertina, ar įrenginio eksploatavimo pakeitimas priskirtinas prie esminio eksploatavimo pakeitimo. RAAD paliekama teisė nuspręsti, ar planuojamas įrenginio ar jame atliekamų funkcijų pakeitimas ar įrenginio pajėgumų padidinimas gali turėti didelį neigiamą poveikį aplinkai arba žmonių sveikatai. Jeigu RAAD pakeitimus priskiria prie esminio ūkinės veiklos pakeitimo, per 21 dieną nuo pranešimo apie pakeitimus gavimo datos, veiklos vykdytojas informuojamas apie pareigą atnaujinti Leidimą. Leidimui atnaujinti veiklos vykdytojas pateikia naują paraišką. </w:t>
            </w:r>
            <w:r w:rsidRPr="00E44315">
              <w:rPr>
                <w:color w:val="000000"/>
              </w:rPr>
              <w:t xml:space="preserve">Apie kiekvieną ūkinės veiklos ar eksploatavimo pakeitimo atvejį ir jo įtaką aplinkos kokybei arba žmonėms kompetentinga institucija sprendžia atsižvelgdama į ūkinės veiklos ar eksploatavimo pakeitimo pobūdį, apibūdindama, analizuodama bei prognozuodama reikšmingus neigiamus </w:t>
            </w:r>
            <w:r w:rsidRPr="00E44315">
              <w:rPr>
                <w:color w:val="000000"/>
              </w:rPr>
              <w:lastRenderedPageBreak/>
              <w:t>poveikius aplinkos kokybei arba žmonėms. Atsižvelgiant į šiuos aspektus priimami atitinkami sprendimai dėl leidimo atnaujinimo ar koregavimo.</w:t>
            </w:r>
          </w:p>
          <w:p w:rsidR="00864AEB" w:rsidRPr="00E44315" w:rsidRDefault="00864AEB" w:rsidP="00213654">
            <w:pPr>
              <w:rPr>
                <w:rFonts w:ascii="Times New Roman" w:hAnsi="Times New Roman" w:cs="Times New Roman"/>
                <w:sz w:val="24"/>
                <w:szCs w:val="24"/>
              </w:rPr>
            </w:pPr>
          </w:p>
        </w:tc>
      </w:tr>
      <w:tr w:rsidR="00864AEB" w:rsidRPr="00E44315" w:rsidTr="0049617E">
        <w:tc>
          <w:tcPr>
            <w:tcW w:w="1276" w:type="dxa"/>
          </w:tcPr>
          <w:p w:rsidR="00864AEB" w:rsidRPr="00E44315" w:rsidRDefault="00352E67" w:rsidP="00213654">
            <w:pPr>
              <w:rPr>
                <w:rFonts w:ascii="Times New Roman" w:hAnsi="Times New Roman" w:cs="Times New Roman"/>
                <w:sz w:val="24"/>
                <w:szCs w:val="24"/>
              </w:rPr>
            </w:pPr>
            <w:r w:rsidRPr="00E44315">
              <w:rPr>
                <w:rFonts w:ascii="Times New Roman" w:hAnsi="Times New Roman" w:cs="Times New Roman"/>
                <w:sz w:val="24"/>
                <w:szCs w:val="24"/>
              </w:rPr>
              <w:lastRenderedPageBreak/>
              <w:t>8.1</w:t>
            </w:r>
          </w:p>
        </w:tc>
        <w:tc>
          <w:tcPr>
            <w:tcW w:w="3741" w:type="dxa"/>
          </w:tcPr>
          <w:p w:rsidR="00A24A4D" w:rsidRPr="00E44315" w:rsidRDefault="00A24A4D"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Ar nacionaliniuose arba žemesnio už nacionalinį lygmens teisės aktuose arba kitomis priemonėmis, pvz., ribojant leidimų galiojimo laiką, nustatyta, kaip dažnai turi būti peržiūrimos ir, jei būtina, atnaujinamos leidimų sąlygos (13 straipsnis)? Jei taip, kokios yra tos kitos priemonės? Pateikite nuorodą į atitinkamus teisės aktus, rekomendacijas ar procedūras.</w:t>
            </w:r>
          </w:p>
          <w:p w:rsidR="00864AEB" w:rsidRPr="00E44315" w:rsidRDefault="00864AEB" w:rsidP="00213654">
            <w:pPr>
              <w:rPr>
                <w:rFonts w:ascii="Times New Roman" w:hAnsi="Times New Roman" w:cs="Times New Roman"/>
                <w:sz w:val="24"/>
                <w:szCs w:val="24"/>
              </w:rPr>
            </w:pPr>
          </w:p>
        </w:tc>
        <w:tc>
          <w:tcPr>
            <w:tcW w:w="4758" w:type="dxa"/>
          </w:tcPr>
          <w:p w:rsidR="00A24A4D" w:rsidRPr="00E44315" w:rsidRDefault="00A24A4D" w:rsidP="00213654">
            <w:pPr>
              <w:pStyle w:val="prastasiniatinklio"/>
              <w:snapToGrid w:val="0"/>
              <w:spacing w:before="0" w:beforeAutospacing="0" w:after="0" w:afterAutospacing="0"/>
              <w:rPr>
                <w:color w:val="000000"/>
              </w:rPr>
            </w:pPr>
            <w:r w:rsidRPr="00E44315">
              <w:rPr>
                <w:color w:val="000000"/>
              </w:rPr>
              <w:t xml:space="preserve">TIPK taisyklių 67 punkte nurodyta, kad RAAD periodiškai Taisyklių 1 priede nurodytų įrenginių atveju – </w:t>
            </w:r>
            <w:r w:rsidRPr="00E44315">
              <w:t xml:space="preserve">ne rečiau kaip kas 12 mėnesių – peržiūri leidimo sąlygas ir patikrina, ar  veiklos vykdytojo vykdoma veikla atitinka šias sąlygas bei kitų teisės aktų reikalavimus, ir, nustatęs, kad yra pagrindas atnaujinti , informuoja veiklos vykdytoją apie pareigą atnaujinti leidimą. </w:t>
            </w:r>
            <w:r w:rsidRPr="00E44315">
              <w:rPr>
                <w:color w:val="000000"/>
              </w:rPr>
              <w:t xml:space="preserve"> Vadovaujantis šių Taisyklių 10 ir 56.2 punktus, leidimas išduodamas neterminuotam laikui, tačiau jo atnaujinimo terminas gali būti ir nustatytas. Pagal Taisyklių 55 punktą, leidimo dalis, kurioje nustatytos prioritetinių pavojingų ir/ar pavojingų medžiagų ribinės vertės ir sąlygos šioms medžiagoms išleisti su nuotekomis, turi būti peržiūrima ne rečiau kaip kas ketveri metai, skaičiuojant nuo pirmojo, pagal šią tvarką išduoto, leidimo išdavimo datos. Veiklos vykdytojui pranešus apie planuojamus įrenginio eksploatavimo pakeitimus arba veiklos vykdytojo vykdomos ūkinės veiklos esminius pakeitimus ir RAAD priskyrus šiuos pakeitimus prie esminių (56.1 punktas), per 21 dieną nuo pranešimo apie pakeitimus gavimo datos RAAD informuoja veiklos vykdytoją apie pareigą atnaujinti leidimą. Taip pat leidimas yra atnaujinamas, jeigu įrenginio keliama tarša yra tokia didelė, kad leidime įrašytos teršalų išmetimo ribinės vertės turi būti peržiūrimos arba naujos ribinės vertės turi būti įrašomos į leidimą (56.4 punktas), eksploatavimo proceso arba veiklos saugai reikia naudoti kitas technologijas (56.5 punktas), kituose teisės aktuose nustatyta tvarka ir terminais (56.6 punktas). Leidimui atnaujinti veiklos vykdytojas pateikia naują paraišką. </w:t>
            </w:r>
            <w:r w:rsidRPr="00E44315">
              <w:t xml:space="preserve">Jeigu leidime nustatyti klaidingi duomenys ar klaidingi įrašai (60.1 punktas), leidimo sąlygos nebeatitinka pakitusių teisės aktų normų ar Lietuvos Respublikos tarptautinių įsipareigojimų (60.2 punktas), pakito GPGB, suteikiantis galimybę sumažinti taršą be pernelyg didelių išlaidų (60.3 punktas), pasikeitė vykdomos veiklos apimtys, </w:t>
            </w:r>
            <w:r w:rsidRPr="00E44315">
              <w:lastRenderedPageBreak/>
              <w:t>gamybos pajėguma</w:t>
            </w:r>
            <w:r w:rsidR="00352E67" w:rsidRPr="00E44315">
              <w:t>s</w:t>
            </w:r>
            <w:r w:rsidRPr="00E44315">
              <w:t xml:space="preserve"> ar technologijos, kai pasikeitimas nepriskiriamas prie esminio ūkinės veiklos pasikeitimo (60.4 punktas), išduodama ATL dalis einamiesiems metas (60.5 punktas), pasikeitė veiklos vykdytojas ar pasikeitė jo pavadinimas (60.6 punktas), išduotas leidimas turi būti koreguojamas. Koreguojama tik ta leidimo dalis, dėl kurios atsirado pareiga iš dalies keisti leidimo sąlygas. Teikdamas prašymą leidimui koreguoti, veiklos vykdytojas prideda atitinkamos leidimo dalies paraiškos dalį.</w:t>
            </w:r>
          </w:p>
          <w:p w:rsidR="00864AEB" w:rsidRPr="00E44315" w:rsidRDefault="00864AEB" w:rsidP="00213654">
            <w:pPr>
              <w:rPr>
                <w:rFonts w:ascii="Times New Roman" w:hAnsi="Times New Roman" w:cs="Times New Roman"/>
                <w:sz w:val="24"/>
                <w:szCs w:val="24"/>
              </w:rPr>
            </w:pPr>
          </w:p>
        </w:tc>
      </w:tr>
      <w:tr w:rsidR="00864AEB" w:rsidRPr="00E44315" w:rsidTr="0049617E">
        <w:tc>
          <w:tcPr>
            <w:tcW w:w="1276" w:type="dxa"/>
          </w:tcPr>
          <w:p w:rsidR="00864AEB" w:rsidRPr="00E44315" w:rsidRDefault="00352E67" w:rsidP="00213654">
            <w:pPr>
              <w:contextualSpacing/>
              <w:rPr>
                <w:rFonts w:ascii="Times New Roman" w:hAnsi="Times New Roman" w:cs="Times New Roman"/>
                <w:sz w:val="24"/>
                <w:szCs w:val="24"/>
              </w:rPr>
            </w:pPr>
            <w:r w:rsidRPr="00E44315">
              <w:rPr>
                <w:rFonts w:ascii="Times New Roman" w:hAnsi="Times New Roman" w:cs="Times New Roman"/>
                <w:sz w:val="24"/>
                <w:szCs w:val="24"/>
              </w:rPr>
              <w:lastRenderedPageBreak/>
              <w:t xml:space="preserve">8.2 </w:t>
            </w:r>
          </w:p>
        </w:tc>
        <w:tc>
          <w:tcPr>
            <w:tcW w:w="3741" w:type="dxa"/>
          </w:tcPr>
          <w:p w:rsidR="00352E67" w:rsidRPr="00E44315" w:rsidRDefault="00352E67" w:rsidP="00213654">
            <w:pPr>
              <w:contextualSpacing/>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Kaip dažnai paprastai peržiūrimos leidimų sąlygos? Jei įrenginiams ar sektoriams eksploatuoti išduodamų leidimų sąlygos peržiūrimos skirtingai, pateikite, jei turite, paaiškinančios informacijos.</w:t>
            </w:r>
          </w:p>
          <w:p w:rsidR="00864AEB" w:rsidRPr="00E44315" w:rsidRDefault="00864AEB" w:rsidP="00213654">
            <w:pPr>
              <w:contextualSpacing/>
              <w:rPr>
                <w:rFonts w:ascii="Times New Roman" w:hAnsi="Times New Roman" w:cs="Times New Roman"/>
                <w:sz w:val="24"/>
                <w:szCs w:val="24"/>
              </w:rPr>
            </w:pPr>
          </w:p>
        </w:tc>
        <w:tc>
          <w:tcPr>
            <w:tcW w:w="4758" w:type="dxa"/>
          </w:tcPr>
          <w:p w:rsidR="00864AEB" w:rsidRPr="00E44315" w:rsidRDefault="00737BAC" w:rsidP="00213654">
            <w:pPr>
              <w:contextualSpacing/>
              <w:rPr>
                <w:rFonts w:ascii="Times New Roman" w:hAnsi="Times New Roman" w:cs="Times New Roman"/>
                <w:sz w:val="24"/>
                <w:szCs w:val="24"/>
              </w:rPr>
            </w:pPr>
            <w:r w:rsidRPr="00E44315">
              <w:rPr>
                <w:rFonts w:ascii="Times New Roman" w:hAnsi="Times New Roman" w:cs="Times New Roman"/>
                <w:sz w:val="24"/>
                <w:szCs w:val="24"/>
              </w:rPr>
              <w:t>Leidimo reikalavimai paprastai peržiūrimi po kiekvieno eilinio įrenginio patikrinimo,</w:t>
            </w:r>
            <w:r w:rsidR="00080160" w:rsidRPr="00E44315">
              <w:rPr>
                <w:rFonts w:ascii="Times New Roman" w:hAnsi="Times New Roman" w:cs="Times New Roman"/>
                <w:sz w:val="24"/>
                <w:szCs w:val="24"/>
              </w:rPr>
              <w:t xml:space="preserve"> tačiau ne rečiau kaip vieną </w:t>
            </w:r>
            <w:r w:rsidRPr="00E44315">
              <w:rPr>
                <w:rFonts w:ascii="Times New Roman" w:hAnsi="Times New Roman" w:cs="Times New Roman"/>
                <w:sz w:val="24"/>
                <w:szCs w:val="24"/>
              </w:rPr>
              <w:t>kartą metuose, nepriklausomai nuo pramonės sektoriaus, o taip pat po neeilinio patikrinimo.</w:t>
            </w:r>
          </w:p>
        </w:tc>
      </w:tr>
      <w:tr w:rsidR="00864AEB" w:rsidRPr="00E44315" w:rsidTr="0049617E">
        <w:tc>
          <w:tcPr>
            <w:tcW w:w="1276" w:type="dxa"/>
          </w:tcPr>
          <w:p w:rsidR="00864AEB" w:rsidRPr="00E44315" w:rsidRDefault="00946D19" w:rsidP="00213654">
            <w:pPr>
              <w:rPr>
                <w:rFonts w:ascii="Times New Roman" w:hAnsi="Times New Roman" w:cs="Times New Roman"/>
                <w:sz w:val="24"/>
                <w:szCs w:val="24"/>
              </w:rPr>
            </w:pPr>
            <w:r w:rsidRPr="00E44315">
              <w:rPr>
                <w:rFonts w:ascii="Times New Roman" w:hAnsi="Times New Roman" w:cs="Times New Roman"/>
                <w:sz w:val="24"/>
                <w:szCs w:val="24"/>
              </w:rPr>
              <w:t>8.3</w:t>
            </w:r>
          </w:p>
        </w:tc>
        <w:tc>
          <w:tcPr>
            <w:tcW w:w="3741" w:type="dxa"/>
          </w:tcPr>
          <w:p w:rsidR="00080160" w:rsidRPr="00E44315" w:rsidRDefault="00080160" w:rsidP="00213654">
            <w:pPr>
              <w:pStyle w:val="prastasiniatinklio"/>
              <w:spacing w:before="0" w:beforeAutospacing="0" w:after="0" w:afterAutospacing="0"/>
            </w:pPr>
            <w:r w:rsidRPr="00E44315">
              <w:t>Kokie yra leidimų sąlygų peržiūrėjimo ir atnaujinimo proceso etapai? Kaip leidimų sąlygų peržiūrėjimo nuostata įgyvendinama tais atvejais, kai taikant geriausius prieinamus gamybos būdus įvyksta esminių pakeitimų? Pateikite nuorodą į atitinkamus teisės aktus, rekomendacijas ar procedūras.</w:t>
            </w:r>
          </w:p>
          <w:p w:rsidR="00864AEB" w:rsidRPr="00E44315" w:rsidRDefault="00864AEB" w:rsidP="00213654">
            <w:pPr>
              <w:rPr>
                <w:rFonts w:ascii="Times New Roman" w:hAnsi="Times New Roman" w:cs="Times New Roman"/>
                <w:sz w:val="24"/>
                <w:szCs w:val="24"/>
              </w:rPr>
            </w:pPr>
          </w:p>
        </w:tc>
        <w:tc>
          <w:tcPr>
            <w:tcW w:w="4758" w:type="dxa"/>
          </w:tcPr>
          <w:p w:rsidR="00DD6DBC" w:rsidRPr="00067C62" w:rsidRDefault="00DD6DBC" w:rsidP="00DD6DBC">
            <w:pPr>
              <w:rPr>
                <w:rFonts w:ascii="Times New Roman" w:hAnsi="Times New Roman" w:cs="Times New Roman"/>
                <w:sz w:val="24"/>
                <w:szCs w:val="24"/>
              </w:rPr>
            </w:pPr>
            <w:r w:rsidRPr="00067C62">
              <w:rPr>
                <w:rFonts w:ascii="Times New Roman" w:hAnsi="Times New Roman" w:cs="Times New Roman"/>
                <w:color w:val="000000"/>
                <w:sz w:val="24"/>
                <w:szCs w:val="24"/>
              </w:rPr>
              <w:t xml:space="preserve">Vadovaujantis TIPK taisyklių 67 punktu, RAAD periodiškai – </w:t>
            </w:r>
            <w:r w:rsidRPr="00067C62">
              <w:rPr>
                <w:rFonts w:ascii="Times New Roman" w:hAnsi="Times New Roman" w:cs="Times New Roman"/>
                <w:sz w:val="24"/>
                <w:szCs w:val="24"/>
              </w:rPr>
              <w:t xml:space="preserve">ne rečiau kaip kas 12 mėnesių – peržiūri leidimo sąlygas ir patikrina, ar veiklos vykdytojo vykdoma veikla atitinka šias sąlygas bei kitų teisės aktų reikalavimus, ir, nustatęs, kad yra pagrindas atnaujinti leidimą, informuoja veiklos vykdytoją apie pareigą atnaujinti leidimą. </w:t>
            </w:r>
          </w:p>
          <w:p w:rsidR="002416EC" w:rsidRPr="00067C62" w:rsidRDefault="002416EC" w:rsidP="00046501">
            <w:pPr>
              <w:rPr>
                <w:rFonts w:ascii="Times New Roman" w:hAnsi="Times New Roman" w:cs="Times New Roman"/>
                <w:color w:val="000000"/>
                <w:sz w:val="24"/>
                <w:szCs w:val="24"/>
              </w:rPr>
            </w:pPr>
            <w:r w:rsidRPr="00067C62">
              <w:rPr>
                <w:rFonts w:ascii="Times New Roman" w:hAnsi="Times New Roman" w:cs="Times New Roman"/>
                <w:color w:val="000000"/>
                <w:sz w:val="24"/>
                <w:szCs w:val="24"/>
              </w:rPr>
              <w:t xml:space="preserve">Vadovaujantis TIPK taisyklių 57 punktu, veiklos vykdytojas privalo pranešti RAAD </w:t>
            </w:r>
            <w:r w:rsidR="002E1278" w:rsidRPr="00067C62">
              <w:rPr>
                <w:rFonts w:ascii="Times New Roman" w:hAnsi="Times New Roman" w:cs="Times New Roman"/>
                <w:color w:val="000000"/>
                <w:sz w:val="24"/>
                <w:szCs w:val="24"/>
              </w:rPr>
              <w:t xml:space="preserve">apie planuojamus </w:t>
            </w:r>
            <w:r w:rsidR="00BF1D34" w:rsidRPr="00067C62">
              <w:rPr>
                <w:rFonts w:ascii="Times New Roman" w:hAnsi="Times New Roman" w:cs="Times New Roman"/>
                <w:color w:val="000000"/>
                <w:sz w:val="24"/>
                <w:szCs w:val="24"/>
              </w:rPr>
              <w:t xml:space="preserve">įrenginio eksploatavimo </w:t>
            </w:r>
            <w:r w:rsidR="00BF1D34">
              <w:rPr>
                <w:rFonts w:ascii="Times New Roman" w:hAnsi="Times New Roman" w:cs="Times New Roman"/>
                <w:color w:val="000000"/>
                <w:sz w:val="24"/>
                <w:szCs w:val="24"/>
              </w:rPr>
              <w:t xml:space="preserve">arba </w:t>
            </w:r>
            <w:r w:rsidR="002E1278" w:rsidRPr="00067C62">
              <w:rPr>
                <w:rFonts w:ascii="Times New Roman" w:hAnsi="Times New Roman" w:cs="Times New Roman"/>
                <w:color w:val="000000"/>
                <w:sz w:val="24"/>
                <w:szCs w:val="24"/>
              </w:rPr>
              <w:t>esminius ūkinės veiklos pasikeitimus.</w:t>
            </w:r>
          </w:p>
          <w:p w:rsidR="002416EC" w:rsidRPr="00067C62" w:rsidRDefault="00067C62" w:rsidP="00046501">
            <w:pPr>
              <w:rPr>
                <w:rFonts w:ascii="Times New Roman" w:hAnsi="Times New Roman" w:cs="Times New Roman"/>
                <w:color w:val="000000"/>
                <w:sz w:val="24"/>
                <w:szCs w:val="24"/>
              </w:rPr>
            </w:pPr>
            <w:r w:rsidRPr="00067C62">
              <w:rPr>
                <w:rFonts w:ascii="Times New Roman" w:hAnsi="Times New Roman" w:cs="Times New Roman"/>
                <w:sz w:val="24"/>
                <w:szCs w:val="24"/>
              </w:rPr>
              <w:t>RAAD, gavęs nurodytą pranešimą, įvertina, ar įrenginio/vykdomos veiklos pakeitimai priskirtini prie esminio ūkinės veiklos pakeitimo. Jeigu pakeitimai priskirtini prie esminio ūkinės veiklos pakeitimo, per 21 dieną nuo pranešimo apie pakeitimus gavimo datos RAAD informuoja veiklos vykdytoją apie pareigą atnaujinti Leidimą.</w:t>
            </w:r>
          </w:p>
          <w:p w:rsidR="00624A7F" w:rsidRPr="00067C62" w:rsidRDefault="00681C5D" w:rsidP="00624A7F">
            <w:pPr>
              <w:rPr>
                <w:rFonts w:ascii="Times New Roman" w:hAnsi="Times New Roman" w:cs="Times New Roman"/>
                <w:color w:val="000000"/>
                <w:sz w:val="24"/>
                <w:szCs w:val="24"/>
              </w:rPr>
            </w:pPr>
            <w:r w:rsidRPr="00067C62">
              <w:rPr>
                <w:rFonts w:ascii="Times New Roman" w:hAnsi="Times New Roman" w:cs="Times New Roman"/>
                <w:color w:val="000000"/>
                <w:sz w:val="24"/>
                <w:szCs w:val="24"/>
              </w:rPr>
              <w:t xml:space="preserve">Veiklos vykdytojas, gavęs </w:t>
            </w:r>
            <w:r w:rsidR="00ED287F" w:rsidRPr="00067C62">
              <w:rPr>
                <w:rFonts w:ascii="Times New Roman" w:hAnsi="Times New Roman" w:cs="Times New Roman"/>
                <w:color w:val="000000"/>
                <w:sz w:val="24"/>
                <w:szCs w:val="24"/>
              </w:rPr>
              <w:t>pranešimą</w:t>
            </w:r>
            <w:r w:rsidRPr="00067C62">
              <w:rPr>
                <w:rFonts w:ascii="Times New Roman" w:hAnsi="Times New Roman" w:cs="Times New Roman"/>
                <w:color w:val="000000"/>
                <w:sz w:val="24"/>
                <w:szCs w:val="24"/>
              </w:rPr>
              <w:t xml:space="preserve"> apie </w:t>
            </w:r>
            <w:r w:rsidR="00ED287F" w:rsidRPr="00067C62">
              <w:rPr>
                <w:rFonts w:ascii="Times New Roman" w:hAnsi="Times New Roman" w:cs="Times New Roman"/>
                <w:color w:val="000000"/>
                <w:sz w:val="24"/>
                <w:szCs w:val="24"/>
              </w:rPr>
              <w:t>tai, kad</w:t>
            </w:r>
            <w:r w:rsidR="00321140">
              <w:rPr>
                <w:rFonts w:ascii="Times New Roman" w:hAnsi="Times New Roman" w:cs="Times New Roman"/>
                <w:color w:val="000000"/>
                <w:sz w:val="24"/>
                <w:szCs w:val="24"/>
              </w:rPr>
              <w:t xml:space="preserve"> </w:t>
            </w:r>
            <w:r w:rsidR="004A0693">
              <w:rPr>
                <w:rFonts w:ascii="Times New Roman" w:hAnsi="Times New Roman" w:cs="Times New Roman"/>
                <w:color w:val="000000"/>
                <w:sz w:val="24"/>
                <w:szCs w:val="24"/>
              </w:rPr>
              <w:t xml:space="preserve">planuojamą </w:t>
            </w:r>
            <w:r w:rsidR="00AC51A9">
              <w:rPr>
                <w:rFonts w:ascii="Times New Roman" w:hAnsi="Times New Roman" w:cs="Times New Roman"/>
                <w:color w:val="000000"/>
                <w:sz w:val="24"/>
                <w:szCs w:val="24"/>
              </w:rPr>
              <w:t xml:space="preserve">įrenginio </w:t>
            </w:r>
            <w:r w:rsidR="004A0693">
              <w:rPr>
                <w:rFonts w:ascii="Times New Roman" w:hAnsi="Times New Roman" w:cs="Times New Roman"/>
                <w:color w:val="000000"/>
                <w:sz w:val="24"/>
                <w:szCs w:val="24"/>
              </w:rPr>
              <w:t>eksploatavimo/ūkinės veiklos pakeitimą</w:t>
            </w:r>
            <w:r w:rsidR="00321140" w:rsidRPr="00067C62">
              <w:rPr>
                <w:rFonts w:ascii="Times New Roman" w:hAnsi="Times New Roman" w:cs="Times New Roman"/>
                <w:color w:val="000000"/>
                <w:sz w:val="24"/>
                <w:szCs w:val="24"/>
              </w:rPr>
              <w:t xml:space="preserve"> </w:t>
            </w:r>
          </w:p>
          <w:p w:rsidR="00046501" w:rsidRPr="00067C62" w:rsidRDefault="00681C5D" w:rsidP="00046501">
            <w:pPr>
              <w:rPr>
                <w:rFonts w:ascii="Times New Roman" w:hAnsi="Times New Roman" w:cs="Times New Roman"/>
                <w:sz w:val="24"/>
                <w:szCs w:val="24"/>
              </w:rPr>
            </w:pPr>
            <w:r w:rsidRPr="00067C62">
              <w:rPr>
                <w:rFonts w:ascii="Times New Roman" w:hAnsi="Times New Roman" w:cs="Times New Roman"/>
                <w:color w:val="000000"/>
                <w:sz w:val="24"/>
                <w:szCs w:val="24"/>
              </w:rPr>
              <w:t>RAAD prisk</w:t>
            </w:r>
            <w:r w:rsidR="001152DD" w:rsidRPr="00067C62">
              <w:rPr>
                <w:rFonts w:ascii="Times New Roman" w:hAnsi="Times New Roman" w:cs="Times New Roman"/>
                <w:color w:val="000000"/>
                <w:sz w:val="24"/>
                <w:szCs w:val="24"/>
              </w:rPr>
              <w:t>iria</w:t>
            </w:r>
            <w:r w:rsidR="00AC51A9">
              <w:rPr>
                <w:rFonts w:ascii="Times New Roman" w:hAnsi="Times New Roman" w:cs="Times New Roman"/>
                <w:color w:val="000000"/>
                <w:sz w:val="24"/>
                <w:szCs w:val="24"/>
              </w:rPr>
              <w:t xml:space="preserve"> prie esminių</w:t>
            </w:r>
            <w:r w:rsidRPr="00067C62">
              <w:rPr>
                <w:rFonts w:ascii="Times New Roman" w:hAnsi="Times New Roman" w:cs="Times New Roman"/>
                <w:color w:val="000000"/>
                <w:sz w:val="24"/>
                <w:szCs w:val="24"/>
              </w:rPr>
              <w:t xml:space="preserve">, </w:t>
            </w:r>
            <w:r w:rsidR="00637A4D" w:rsidRPr="00067C62">
              <w:rPr>
                <w:rFonts w:ascii="Times New Roman" w:hAnsi="Times New Roman" w:cs="Times New Roman"/>
                <w:sz w:val="24"/>
                <w:szCs w:val="24"/>
              </w:rPr>
              <w:t xml:space="preserve">privalo </w:t>
            </w:r>
            <w:r w:rsidR="002D5307" w:rsidRPr="00067C62">
              <w:rPr>
                <w:rFonts w:ascii="Times New Roman" w:hAnsi="Times New Roman" w:cs="Times New Roman"/>
                <w:sz w:val="24"/>
                <w:szCs w:val="24"/>
              </w:rPr>
              <w:t>pateik</w:t>
            </w:r>
            <w:r w:rsidR="00637A4D" w:rsidRPr="00067C62">
              <w:rPr>
                <w:rFonts w:ascii="Times New Roman" w:hAnsi="Times New Roman" w:cs="Times New Roman"/>
                <w:sz w:val="24"/>
                <w:szCs w:val="24"/>
              </w:rPr>
              <w:t>ti</w:t>
            </w:r>
            <w:r w:rsidR="002D5307" w:rsidRPr="00067C62">
              <w:rPr>
                <w:rFonts w:ascii="Times New Roman" w:hAnsi="Times New Roman" w:cs="Times New Roman"/>
                <w:sz w:val="24"/>
                <w:szCs w:val="24"/>
              </w:rPr>
              <w:t xml:space="preserve"> naują paraišką, </w:t>
            </w:r>
            <w:r w:rsidR="00A66D8D" w:rsidRPr="00067C62">
              <w:rPr>
                <w:rFonts w:ascii="Times New Roman" w:hAnsi="Times New Roman" w:cs="Times New Roman"/>
                <w:sz w:val="24"/>
                <w:szCs w:val="24"/>
              </w:rPr>
              <w:t>o leidimo atnaujinimo procesas</w:t>
            </w:r>
            <w:r w:rsidR="009F24F2">
              <w:rPr>
                <w:rFonts w:ascii="Times New Roman" w:hAnsi="Times New Roman" w:cs="Times New Roman"/>
                <w:sz w:val="24"/>
                <w:szCs w:val="24"/>
              </w:rPr>
              <w:t>, vadovaujantis TIPK taisyklių 59 punktu,</w:t>
            </w:r>
            <w:r w:rsidR="00A66D8D" w:rsidRPr="00067C62">
              <w:rPr>
                <w:rFonts w:ascii="Times New Roman" w:hAnsi="Times New Roman" w:cs="Times New Roman"/>
                <w:sz w:val="24"/>
                <w:szCs w:val="24"/>
              </w:rPr>
              <w:t xml:space="preserve"> vyksta naujo leidimo išdavimui nustatyta tvarka</w:t>
            </w:r>
            <w:r w:rsidR="000C1539" w:rsidRPr="00067C62">
              <w:rPr>
                <w:rFonts w:ascii="Times New Roman" w:hAnsi="Times New Roman" w:cs="Times New Roman"/>
                <w:sz w:val="24"/>
                <w:szCs w:val="24"/>
              </w:rPr>
              <w:t>, įskaitant visuomenės dalyvavimą leidimo išdavimo procese.</w:t>
            </w:r>
            <w:r w:rsidR="00230B59" w:rsidRPr="00067C62">
              <w:rPr>
                <w:rFonts w:ascii="Times New Roman" w:hAnsi="Times New Roman" w:cs="Times New Roman"/>
                <w:sz w:val="24"/>
                <w:szCs w:val="24"/>
              </w:rPr>
              <w:t xml:space="preserve"> Šio punkto nuostata vadovaujamasi ir tuo atveju, </w:t>
            </w:r>
            <w:r w:rsidR="00230B59" w:rsidRPr="00067C62">
              <w:rPr>
                <w:rFonts w:ascii="Times New Roman" w:hAnsi="Times New Roman" w:cs="Times New Roman"/>
                <w:sz w:val="24"/>
                <w:szCs w:val="24"/>
              </w:rPr>
              <w:lastRenderedPageBreak/>
              <w:t xml:space="preserve">kai taikant </w:t>
            </w:r>
            <w:r w:rsidR="00D710A5" w:rsidRPr="00067C62">
              <w:rPr>
                <w:rFonts w:ascii="Times New Roman" w:hAnsi="Times New Roman" w:cs="Times New Roman"/>
                <w:sz w:val="24"/>
                <w:szCs w:val="24"/>
              </w:rPr>
              <w:t>geriausius prieinamus gamybos būdus įvyksta esminiai ūkinės veiklos pasikeitimai</w:t>
            </w:r>
            <w:r w:rsidR="00046501" w:rsidRPr="00067C62">
              <w:rPr>
                <w:rFonts w:ascii="Times New Roman" w:hAnsi="Times New Roman" w:cs="Times New Roman"/>
                <w:sz w:val="24"/>
                <w:szCs w:val="24"/>
              </w:rPr>
              <w:t>.</w:t>
            </w:r>
          </w:p>
          <w:p w:rsidR="00864AEB" w:rsidRPr="00067C62" w:rsidRDefault="00046501" w:rsidP="00FF2468">
            <w:pPr>
              <w:rPr>
                <w:rFonts w:ascii="Times New Roman" w:hAnsi="Times New Roman" w:cs="Times New Roman"/>
                <w:sz w:val="24"/>
                <w:szCs w:val="24"/>
              </w:rPr>
            </w:pPr>
            <w:r w:rsidRPr="00067C62">
              <w:rPr>
                <w:rFonts w:ascii="Times New Roman" w:hAnsi="Times New Roman" w:cs="Times New Roman"/>
                <w:sz w:val="24"/>
                <w:szCs w:val="24"/>
              </w:rPr>
              <w:t>P</w:t>
            </w:r>
            <w:r w:rsidR="00946D19" w:rsidRPr="00067C62">
              <w:rPr>
                <w:rFonts w:ascii="Times New Roman" w:hAnsi="Times New Roman" w:cs="Times New Roman"/>
                <w:color w:val="000000"/>
                <w:sz w:val="24"/>
                <w:szCs w:val="24"/>
              </w:rPr>
              <w:t>agal Taisyklių 55 punktą, leidimo dalis, kurioje nustatytos prioritetinių pavojingų ir/ar pavojingų medžiagų ribinės vertės ir sąlygos</w:t>
            </w:r>
            <w:r w:rsidR="00D3540D" w:rsidRPr="00067C62">
              <w:rPr>
                <w:rFonts w:ascii="Times New Roman" w:hAnsi="Times New Roman" w:cs="Times New Roman"/>
                <w:color w:val="000000"/>
                <w:sz w:val="24"/>
                <w:szCs w:val="24"/>
              </w:rPr>
              <w:t xml:space="preserve"> šioms medžiagoms išleisti su nuotekomis, turi būti peržiūrima ne rečiau kaip kas ketveri metai, skaičiuojant nuo pirmojo, pagal šią tvarką išduoto, leidimo išdavimo datos. Regiono aplinkos apsaugos departamentams taip pat suteikta teisė pagal taisyklių 56.2 punktą </w:t>
            </w:r>
            <w:r w:rsidR="00B03D97" w:rsidRPr="00067C62">
              <w:rPr>
                <w:rFonts w:ascii="Times New Roman" w:hAnsi="Times New Roman" w:cs="Times New Roman"/>
                <w:color w:val="000000"/>
                <w:sz w:val="24"/>
                <w:szCs w:val="24"/>
              </w:rPr>
              <w:t xml:space="preserve">motyvuotai </w:t>
            </w:r>
            <w:r w:rsidR="00D3540D" w:rsidRPr="00067C62">
              <w:rPr>
                <w:rFonts w:ascii="Times New Roman" w:hAnsi="Times New Roman" w:cs="Times New Roman"/>
                <w:color w:val="000000"/>
                <w:sz w:val="24"/>
                <w:szCs w:val="24"/>
              </w:rPr>
              <w:t>nustatyti leidimo atnaujinimo terminus. Taip pat leidimas yra atnaujinamas, jeigu įrenginio keliama tarša yra tokia didelė, kad leidime įrašytos teršalų išmetimo ribinės vertės turi būti peržiūrimos arba naujos ribinės vertės turi būti įrašomos į leidimą (56.4 punktas), eksploatavimo</w:t>
            </w:r>
            <w:r w:rsidR="00C75F6A" w:rsidRPr="00067C62">
              <w:rPr>
                <w:rFonts w:ascii="Times New Roman" w:hAnsi="Times New Roman" w:cs="Times New Roman"/>
                <w:color w:val="000000"/>
                <w:sz w:val="24"/>
                <w:szCs w:val="24"/>
              </w:rPr>
              <w:t xml:space="preserve"> proceso arba veiklos saugai reikia naudoti kitas technologijas (56.5 punktas), kituose teisės aktuose nustatyta tvarka ir terminais (56.6 punktas). </w:t>
            </w:r>
          </w:p>
        </w:tc>
      </w:tr>
      <w:tr w:rsidR="00497885" w:rsidRPr="00E44315" w:rsidTr="0049617E">
        <w:tc>
          <w:tcPr>
            <w:tcW w:w="1276" w:type="dxa"/>
          </w:tcPr>
          <w:p w:rsidR="00497885" w:rsidRPr="00E44315" w:rsidRDefault="00497885" w:rsidP="00213654">
            <w:pPr>
              <w:rPr>
                <w:rFonts w:ascii="Times New Roman" w:hAnsi="Times New Roman" w:cs="Times New Roman"/>
                <w:sz w:val="24"/>
                <w:szCs w:val="24"/>
              </w:rPr>
            </w:pPr>
            <w:r w:rsidRPr="00E44315">
              <w:rPr>
                <w:rFonts w:ascii="Times New Roman" w:hAnsi="Times New Roman" w:cs="Times New Roman"/>
                <w:sz w:val="24"/>
                <w:szCs w:val="24"/>
              </w:rPr>
              <w:lastRenderedPageBreak/>
              <w:t>9.1</w:t>
            </w:r>
          </w:p>
        </w:tc>
        <w:tc>
          <w:tcPr>
            <w:tcW w:w="3741" w:type="dxa"/>
          </w:tcPr>
          <w:p w:rsidR="00497885" w:rsidRPr="00E44315" w:rsidRDefault="00497885"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Kaip praktiškai įgyvendinamas 14 straipsnyje nustatytas reikalavimas, kad veiklos vykdytojai valdžios institucijoms reguliariai praneštų apie išmetamųjų teršalų stebėsenos rezultatus? Pateikite nuorodų į visas konkrečias kompetentingoms institucijoms skirtas su tuo susijusias taisykles, procedūras ar gaires.</w:t>
            </w:r>
          </w:p>
          <w:p w:rsidR="00497885" w:rsidRPr="00E44315" w:rsidRDefault="00497885" w:rsidP="00213654">
            <w:pPr>
              <w:rPr>
                <w:rFonts w:ascii="Times New Roman" w:hAnsi="Times New Roman" w:cs="Times New Roman"/>
                <w:sz w:val="24"/>
                <w:szCs w:val="24"/>
              </w:rPr>
            </w:pPr>
          </w:p>
        </w:tc>
        <w:tc>
          <w:tcPr>
            <w:tcW w:w="4758" w:type="dxa"/>
          </w:tcPr>
          <w:p w:rsidR="00497885" w:rsidRPr="00E44315" w:rsidRDefault="00497885" w:rsidP="00213654">
            <w:pPr>
              <w:snapToGrid w:val="0"/>
              <w:jc w:val="both"/>
              <w:rPr>
                <w:rFonts w:ascii="Times New Roman" w:hAnsi="Times New Roman" w:cs="Times New Roman"/>
                <w:sz w:val="24"/>
                <w:szCs w:val="24"/>
              </w:rPr>
            </w:pPr>
            <w:r w:rsidRPr="00E44315">
              <w:rPr>
                <w:rFonts w:ascii="Times New Roman" w:hAnsi="Times New Roman" w:cs="Times New Roman"/>
                <w:sz w:val="24"/>
                <w:szCs w:val="24"/>
              </w:rPr>
              <w:t xml:space="preserve">Direktyvos 14 straipsnio nuostatos perkeltos į TIPK taisyklių 83 punktą, pagal kurį RAAD vykdo leidimuose nustatytų sąlygų ir reikalavimų laikymosi kontrolę, įskaitant veiklos vykdytojo reguliarius pranešimus RAAD apie teršalų išmetimo monitoringo rezultatus bei kiekvieną incidentą ar avariją, darančią poveikį aplinkai. Leidimo reikalavimuose pateikiami reikalavimai ir monitoringo vykdymui. Juose nurodomi monitoringo objektai (nuotekos, emisijos į orą, dirvožemį, atliekų išvežimo į sąvartynus apskaita ir kt.), reikalavimai monitoringo atlikimui ir duomenų teikimui. </w:t>
            </w:r>
          </w:p>
          <w:p w:rsidR="003C61EF" w:rsidRPr="00662195" w:rsidRDefault="00497885" w:rsidP="00213654">
            <w:pPr>
              <w:jc w:val="both"/>
              <w:rPr>
                <w:rFonts w:ascii="Times New Roman" w:hAnsi="Times New Roman" w:cs="Times New Roman"/>
                <w:sz w:val="24"/>
                <w:szCs w:val="24"/>
              </w:rPr>
            </w:pPr>
            <w:r w:rsidRPr="00E44315">
              <w:rPr>
                <w:rFonts w:ascii="Times New Roman" w:hAnsi="Times New Roman" w:cs="Times New Roman"/>
                <w:sz w:val="24"/>
                <w:szCs w:val="24"/>
              </w:rPr>
              <w:t>Veiklos vykdytojai</w:t>
            </w:r>
            <w:r w:rsidR="007C4E06">
              <w:rPr>
                <w:rFonts w:ascii="Times New Roman" w:hAnsi="Times New Roman" w:cs="Times New Roman"/>
                <w:sz w:val="24"/>
                <w:szCs w:val="24"/>
              </w:rPr>
              <w:t xml:space="preserve">, vadovaudamiesi Ūkio subjektų aplinkos monitoringo nuostatų </w:t>
            </w:r>
            <w:r w:rsidR="003C61EF">
              <w:rPr>
                <w:rFonts w:ascii="Times New Roman" w:hAnsi="Times New Roman" w:cs="Times New Roman"/>
                <w:sz w:val="24"/>
                <w:szCs w:val="24"/>
              </w:rPr>
              <w:t xml:space="preserve">(Žin., 2009, Nr. 113-4831) 27 </w:t>
            </w:r>
            <w:r w:rsidR="003C61EF" w:rsidRPr="00662195">
              <w:rPr>
                <w:rFonts w:ascii="Times New Roman" w:hAnsi="Times New Roman" w:cs="Times New Roman"/>
                <w:sz w:val="24"/>
                <w:szCs w:val="24"/>
              </w:rPr>
              <w:t xml:space="preserve">punktu, </w:t>
            </w:r>
            <w:r w:rsidR="00662195" w:rsidRPr="00662195">
              <w:rPr>
                <w:rFonts w:ascii="Times New Roman" w:hAnsi="Times New Roman" w:cs="Times New Roman"/>
                <w:sz w:val="24"/>
                <w:szCs w:val="24"/>
              </w:rPr>
              <w:t>aplinkos monitoringo duomenis ir informaciją privalo pateikti RAAD, taip pat kitoms institucijoms</w:t>
            </w:r>
            <w:r w:rsidR="006343C9">
              <w:rPr>
                <w:rFonts w:ascii="Times New Roman" w:hAnsi="Times New Roman" w:cs="Times New Roman"/>
                <w:sz w:val="24"/>
                <w:szCs w:val="24"/>
              </w:rPr>
              <w:t>.</w:t>
            </w:r>
          </w:p>
          <w:p w:rsidR="00497885" w:rsidRPr="00E44315" w:rsidRDefault="008D3855" w:rsidP="00213654">
            <w:pPr>
              <w:jc w:val="both"/>
              <w:rPr>
                <w:rFonts w:ascii="Times New Roman" w:hAnsi="Times New Roman" w:cs="Times New Roman"/>
                <w:sz w:val="24"/>
                <w:szCs w:val="24"/>
              </w:rPr>
            </w:pPr>
            <w:r>
              <w:rPr>
                <w:rFonts w:ascii="Times New Roman" w:hAnsi="Times New Roman" w:cs="Times New Roman"/>
                <w:sz w:val="24"/>
                <w:szCs w:val="24"/>
              </w:rPr>
              <w:t xml:space="preserve">Visumoje veiklos vykdytojai </w:t>
            </w:r>
            <w:r w:rsidR="00497885" w:rsidRPr="00E44315">
              <w:rPr>
                <w:rFonts w:ascii="Times New Roman" w:hAnsi="Times New Roman" w:cs="Times New Roman"/>
                <w:sz w:val="24"/>
                <w:szCs w:val="24"/>
              </w:rPr>
              <w:t>reguliariai pateikia stebėsenos (monitoringo) ataskaitas laikydamiesi nustatytų terminų.</w:t>
            </w:r>
          </w:p>
          <w:p w:rsidR="00497885" w:rsidRPr="00E44315" w:rsidRDefault="00497885" w:rsidP="00213654">
            <w:pPr>
              <w:jc w:val="both"/>
              <w:rPr>
                <w:rFonts w:ascii="Times New Roman" w:hAnsi="Times New Roman" w:cs="Times New Roman"/>
                <w:sz w:val="24"/>
                <w:szCs w:val="24"/>
              </w:rPr>
            </w:pPr>
            <w:r w:rsidRPr="00E44315">
              <w:rPr>
                <w:rFonts w:ascii="Times New Roman" w:hAnsi="Times New Roman" w:cs="Times New Roman"/>
                <w:sz w:val="24"/>
                <w:szCs w:val="24"/>
              </w:rPr>
              <w:t>Šių ataskaitų pateikimo dažnumas – nuo 1 karto per mėnesį iki 1 karto per metus.</w:t>
            </w:r>
          </w:p>
          <w:p w:rsidR="00497885" w:rsidRPr="00E44315" w:rsidRDefault="00497885" w:rsidP="00213654">
            <w:pPr>
              <w:pStyle w:val="prastasiniatinklio"/>
              <w:snapToGrid w:val="0"/>
              <w:spacing w:before="0" w:beforeAutospacing="0" w:after="0" w:afterAutospacing="0"/>
              <w:rPr>
                <w:color w:val="000000"/>
              </w:rPr>
            </w:pPr>
            <w:r w:rsidRPr="00E44315">
              <w:t xml:space="preserve">Didžiausias monitoringo ataskaitų pateikimo dažnumas nustatytas dideliems kurą deginantiems įrenginiams (kai kurie jų vykdo </w:t>
            </w:r>
            <w:r w:rsidRPr="00E44315">
              <w:lastRenderedPageBreak/>
              <w:t>nepertraukiamą monitoringą), naftos perdirbimo, cemento gamybos sektoriams, o rečiausi – intensyvios gyvulininkystės, pieno ir odų perdirbimo sektoriams.</w:t>
            </w:r>
          </w:p>
        </w:tc>
      </w:tr>
      <w:tr w:rsidR="00497885" w:rsidRPr="00E44315" w:rsidTr="0049617E">
        <w:tc>
          <w:tcPr>
            <w:tcW w:w="1276" w:type="dxa"/>
          </w:tcPr>
          <w:p w:rsidR="00497885" w:rsidRPr="00E44315" w:rsidRDefault="00665D9D" w:rsidP="00213654">
            <w:pPr>
              <w:rPr>
                <w:rFonts w:ascii="Times New Roman" w:hAnsi="Times New Roman" w:cs="Times New Roman"/>
                <w:sz w:val="24"/>
                <w:szCs w:val="24"/>
              </w:rPr>
            </w:pPr>
            <w:r w:rsidRPr="00E44315">
              <w:rPr>
                <w:rFonts w:ascii="Times New Roman" w:hAnsi="Times New Roman" w:cs="Times New Roman"/>
                <w:sz w:val="24"/>
                <w:szCs w:val="24"/>
              </w:rPr>
              <w:lastRenderedPageBreak/>
              <w:t>9.2</w:t>
            </w:r>
          </w:p>
        </w:tc>
        <w:tc>
          <w:tcPr>
            <w:tcW w:w="3741" w:type="dxa"/>
          </w:tcPr>
          <w:p w:rsidR="00665D9D" w:rsidRPr="00E44315" w:rsidRDefault="00665D9D" w:rsidP="00213654">
            <w:pPr>
              <w:rPr>
                <w:rFonts w:ascii="Times New Roman" w:eastAsia="Times New Roman" w:hAnsi="Times New Roman" w:cs="Times New Roman"/>
                <w:sz w:val="24"/>
                <w:szCs w:val="24"/>
                <w:lang w:eastAsia="lt-LT"/>
              </w:rPr>
            </w:pPr>
            <w:r w:rsidRPr="00E44315">
              <w:rPr>
                <w:rFonts w:ascii="Times New Roman" w:eastAsia="Times New Roman" w:hAnsi="Times New Roman" w:cs="Times New Roman"/>
                <w:sz w:val="24"/>
                <w:szCs w:val="24"/>
                <w:lang w:eastAsia="lt-LT"/>
              </w:rPr>
              <w:t>Ar visi veiklos vykdytojai reguliariai pateikia stebėsenos ataskaitas? Nurodykite, kaip dažnai tokia informacija paprastai teikiama. Jei skirtingiems sektoriams taikomi skirtingi reikalavimai, pateikite, jei turite, paaiškinančios informacijos.</w:t>
            </w:r>
          </w:p>
          <w:p w:rsidR="00497885" w:rsidRPr="00E44315" w:rsidRDefault="00497885" w:rsidP="00213654">
            <w:pPr>
              <w:rPr>
                <w:rFonts w:ascii="Times New Roman" w:hAnsi="Times New Roman" w:cs="Times New Roman"/>
                <w:sz w:val="24"/>
                <w:szCs w:val="24"/>
              </w:rPr>
            </w:pPr>
          </w:p>
        </w:tc>
        <w:tc>
          <w:tcPr>
            <w:tcW w:w="4758" w:type="dxa"/>
          </w:tcPr>
          <w:p w:rsidR="00497885" w:rsidRPr="00E44315" w:rsidRDefault="00BB65FC" w:rsidP="00213654">
            <w:pPr>
              <w:rPr>
                <w:rFonts w:ascii="Times New Roman" w:hAnsi="Times New Roman" w:cs="Times New Roman"/>
                <w:sz w:val="24"/>
                <w:szCs w:val="24"/>
              </w:rPr>
            </w:pPr>
            <w:r w:rsidRPr="00E44315">
              <w:rPr>
                <w:rFonts w:ascii="Times New Roman" w:hAnsi="Times New Roman" w:cs="Times New Roman"/>
                <w:sz w:val="24"/>
                <w:szCs w:val="24"/>
              </w:rPr>
              <w:t xml:space="preserve">Visumoje </w:t>
            </w:r>
            <w:r w:rsidRPr="00E44315">
              <w:rPr>
                <w:rFonts w:ascii="Times New Roman" w:hAnsi="Times New Roman" w:cs="Times New Roman"/>
                <w:color w:val="000000"/>
                <w:sz w:val="24"/>
                <w:szCs w:val="24"/>
              </w:rPr>
              <w:t>veiklos vykdytojai reguliariai pateikia stebėsenos ataskaitas. Pasitaikė atvejų, kai ataskaitos nebuvo pateikiamos ar pateikiamos pavėluotai, ir pažeidėjams taikytos administracinės nuobaudos.</w:t>
            </w:r>
            <w:r w:rsidR="00C81EFE">
              <w:rPr>
                <w:rFonts w:ascii="Times New Roman" w:hAnsi="Times New Roman" w:cs="Times New Roman"/>
                <w:color w:val="000000"/>
                <w:sz w:val="24"/>
                <w:szCs w:val="24"/>
              </w:rPr>
              <w:t xml:space="preserve"> Žr. taip pat 9.1 atsakymą.</w:t>
            </w:r>
          </w:p>
        </w:tc>
      </w:tr>
      <w:tr w:rsidR="00CB6AB8" w:rsidRPr="00E44315" w:rsidTr="0049617E">
        <w:tc>
          <w:tcPr>
            <w:tcW w:w="1276" w:type="dxa"/>
          </w:tcPr>
          <w:p w:rsidR="00CB6AB8" w:rsidRPr="00E44315" w:rsidRDefault="00BB65FC" w:rsidP="00213654">
            <w:pPr>
              <w:rPr>
                <w:rFonts w:ascii="Times New Roman" w:hAnsi="Times New Roman" w:cs="Times New Roman"/>
                <w:sz w:val="24"/>
                <w:szCs w:val="24"/>
              </w:rPr>
            </w:pPr>
            <w:r w:rsidRPr="00E44315">
              <w:rPr>
                <w:rFonts w:ascii="Times New Roman" w:hAnsi="Times New Roman" w:cs="Times New Roman"/>
                <w:sz w:val="24"/>
                <w:szCs w:val="24"/>
              </w:rPr>
              <w:t>9.3.1</w:t>
            </w:r>
          </w:p>
        </w:tc>
        <w:tc>
          <w:tcPr>
            <w:tcW w:w="3741" w:type="dxa"/>
          </w:tcPr>
          <w:p w:rsidR="00BB65FC" w:rsidRPr="00E44315" w:rsidRDefault="00923714" w:rsidP="00213654">
            <w:pPr>
              <w:pStyle w:val="prastasiniatinklio"/>
              <w:spacing w:before="0" w:beforeAutospacing="0" w:after="0" w:afterAutospacing="0"/>
            </w:pPr>
            <w:r w:rsidRPr="00E44315">
              <w:t xml:space="preserve">Kokie yra </w:t>
            </w:r>
            <w:r w:rsidR="00BB65FC" w:rsidRPr="00E44315">
              <w:t>pagrindiniai kompetentingų institucijų atliekamo aplinkosauginio tikrinimo ypatumai;</w:t>
            </w:r>
          </w:p>
          <w:p w:rsidR="00CB6AB8" w:rsidRPr="00E44315" w:rsidRDefault="00CB6AB8" w:rsidP="00213654">
            <w:pPr>
              <w:rPr>
                <w:rFonts w:ascii="Times New Roman" w:hAnsi="Times New Roman" w:cs="Times New Roman"/>
                <w:sz w:val="24"/>
                <w:szCs w:val="24"/>
              </w:rPr>
            </w:pPr>
          </w:p>
        </w:tc>
        <w:tc>
          <w:tcPr>
            <w:tcW w:w="4758" w:type="dxa"/>
          </w:tcPr>
          <w:p w:rsidR="00E44315" w:rsidRPr="00E44315" w:rsidRDefault="00E44315" w:rsidP="00E44315">
            <w:pPr>
              <w:snapToGrid w:val="0"/>
              <w:jc w:val="both"/>
              <w:rPr>
                <w:rFonts w:ascii="Times New Roman" w:hAnsi="Times New Roman" w:cs="Times New Roman"/>
                <w:sz w:val="24"/>
                <w:szCs w:val="24"/>
              </w:rPr>
            </w:pPr>
            <w:r w:rsidRPr="00E44315">
              <w:rPr>
                <w:rFonts w:ascii="Times New Roman" w:hAnsi="Times New Roman" w:cs="Times New Roman"/>
                <w:sz w:val="24"/>
                <w:szCs w:val="24"/>
              </w:rPr>
              <w:t>Vadovaujantis TIPK taisyklių 67 punktu, RAAD periodiškai, bet ne rečiau kaip kas 12 mėnesių patikrina, ar veiklos vykdytojo vykdoma veikla atitinka leidimo sąlygas.</w:t>
            </w:r>
          </w:p>
          <w:p w:rsidR="00E44315" w:rsidRPr="00E44315" w:rsidRDefault="00E44315" w:rsidP="00E44315">
            <w:pPr>
              <w:autoSpaceDE w:val="0"/>
              <w:rPr>
                <w:rFonts w:ascii="Times New Roman" w:hAnsi="Times New Roman" w:cs="Times New Roman"/>
                <w:sz w:val="24"/>
                <w:szCs w:val="24"/>
              </w:rPr>
            </w:pPr>
            <w:r w:rsidRPr="00E44315">
              <w:rPr>
                <w:rFonts w:ascii="Times New Roman" w:hAnsi="Times New Roman" w:cs="Times New Roman"/>
                <w:sz w:val="24"/>
                <w:szCs w:val="24"/>
              </w:rPr>
              <w:t xml:space="preserve">Atlikdami eilinį kompleksinį patikrinimą vietoje, inspektoriai paprastai iš anksto praneša apie numatomą patikrinimą. Apie mėginių paėmimą iš anksto nepranešama. Patikrinimo vietoje metu nustatoma, ar laikomasi leidime nustatytų reikalavimų, o taip pat kitų Lietuvos teisės normų reikalavimų, susijusių su aplinkos apsauga. Po kiekvieno patikrinimo surašomas patikrinimo aktas (angl. – Inspection Report). </w:t>
            </w:r>
          </w:p>
          <w:p w:rsidR="00E44315" w:rsidRPr="00E44315" w:rsidRDefault="00E44315" w:rsidP="00E44315">
            <w:pPr>
              <w:autoSpaceDE w:val="0"/>
              <w:rPr>
                <w:rFonts w:ascii="Times New Roman" w:hAnsi="Times New Roman" w:cs="Times New Roman"/>
                <w:sz w:val="24"/>
                <w:szCs w:val="24"/>
              </w:rPr>
            </w:pPr>
            <w:r w:rsidRPr="00E44315">
              <w:rPr>
                <w:rFonts w:ascii="Times New Roman" w:hAnsi="Times New Roman" w:cs="Times New Roman"/>
                <w:sz w:val="24"/>
                <w:szCs w:val="24"/>
              </w:rPr>
              <w:t>Inspekcinių patikrinimų vietoje dažnumo nustatymą iki 2011-02-26 reglamentavo 2003 m. birželio 30 d. aplinkos ministro įsakymas Nr. 327 „Dėl kontroliuojamų objektų tikrinimo dažnumo nustatymo regionų aplinkos apsaugos departamentuose“, o nuo 2011-02-26 – Aplinkos ministro 2011-02-18 įsakymu Nr. D1-145 patvirtintas „Ūkio subjektų veiklos planinių ir neplaninių patikrinimų, vykdant aplinkos apsaugos valstybinę kontrolę, reikalavimų aprašas“.</w:t>
            </w:r>
          </w:p>
          <w:p w:rsidR="00E44315" w:rsidRPr="00E44315" w:rsidRDefault="00E44315" w:rsidP="00E44315">
            <w:pPr>
              <w:autoSpaceDE w:val="0"/>
              <w:rPr>
                <w:rFonts w:ascii="Times New Roman" w:hAnsi="Times New Roman" w:cs="Times New Roman"/>
                <w:sz w:val="24"/>
                <w:szCs w:val="24"/>
              </w:rPr>
            </w:pPr>
            <w:r w:rsidRPr="00E44315">
              <w:rPr>
                <w:rFonts w:ascii="Times New Roman" w:hAnsi="Times New Roman" w:cs="Times New Roman"/>
                <w:sz w:val="24"/>
                <w:szCs w:val="24"/>
              </w:rPr>
              <w:t xml:space="preserve">Mėginiai imami įrenginio techniniame projekte nustatytose ir pažymėtose mėginių paėmimo vietose, dalyvaujant įrenginio operatoriui arba jo atstovui, vadovaujantis aplinkos ministro 2004-02-11 įsakymu Nr. D1-68 „Dėl stacionarių taršos šaltinių išmetamų į atmosferą laboratorinės kontrolės metodinių rekomendacijų patvirtinimo“ (Žin., 2004, Nr. 39-1281). Vandens mėginiai turi būti imami pagal LST EN ISO 5667-1:2007+AC:2007 Vandens kokybė. Mėginių ėmimas. 1 dalis. Mėginių ėmimo programų ir būdų sudarymo nurodymai (ISO 5667-1:2006), LST EN ISO 5667-3:2006 Vandens kokybė. Mėginių </w:t>
            </w:r>
            <w:r w:rsidRPr="00E44315">
              <w:rPr>
                <w:rFonts w:ascii="Times New Roman" w:hAnsi="Times New Roman" w:cs="Times New Roman"/>
                <w:sz w:val="24"/>
                <w:szCs w:val="24"/>
              </w:rPr>
              <w:lastRenderedPageBreak/>
              <w:t xml:space="preserve">ėmimas. 3 dalis. Nurodymai, kaip konservuoti ir tvarkyti vandens mėginius (ISO 5667-3:2003), ISO 5667-4:1987 Vandens kokybė. Mėginių ėmimas. 4 dalis. Nurodymai, kaip imti mėginius iš ežerų ir vandens saugyklų, ISO 5667-6:2005 Vandens kokybė. Mėginių ėmimas. 6 dalis. Nurodymai, kaip imti mėginius iš upių ir upelių. Mėginių (ėminių) paėmimas formalizuojamas pasirašant mėginių paėmimo aktą. Mėginių paėmimo dažnumas reglamentuojamas aplinkos ministro 2004-02-11 įsakymu Nr. D1-68 „Dėl stacionarių taršos šaltinių išmetamų į atmosferą laboratorinės kontrolės metodinių rekomendacijų patvirtinimo“ (Žin., 2004, Nr. 39-1281). Paviršinio vandens mėginiai imami tokiu pat dažniu ir tuo pačiu metu, kaip ir nuotekų mėginiai. Nuotekų mėginių paėmimo dažnumas nustatomas, vadovaujantis aplinkos ministro 2006-05-17 įsakymu Nr. D1-236 „Dėl nuotekų tvarkymo reglamento patvirtinimo“ (Žin., 2006, Nr. 59-2103). </w:t>
            </w:r>
          </w:p>
          <w:p w:rsidR="00CB6AB8" w:rsidRPr="00E44315" w:rsidRDefault="00CB6AB8" w:rsidP="00213654">
            <w:pPr>
              <w:rPr>
                <w:rFonts w:ascii="Times New Roman" w:hAnsi="Times New Roman" w:cs="Times New Roman"/>
                <w:sz w:val="24"/>
                <w:szCs w:val="24"/>
              </w:rPr>
            </w:pPr>
          </w:p>
        </w:tc>
      </w:tr>
      <w:tr w:rsidR="00CB6AB8" w:rsidRPr="00E44315" w:rsidTr="0049617E">
        <w:tc>
          <w:tcPr>
            <w:tcW w:w="1276" w:type="dxa"/>
          </w:tcPr>
          <w:p w:rsidR="00CB6AB8" w:rsidRPr="00E44315" w:rsidRDefault="00923714" w:rsidP="00213654">
            <w:pPr>
              <w:rPr>
                <w:rFonts w:ascii="Times New Roman" w:hAnsi="Times New Roman" w:cs="Times New Roman"/>
                <w:sz w:val="24"/>
                <w:szCs w:val="24"/>
              </w:rPr>
            </w:pPr>
            <w:r w:rsidRPr="00E44315">
              <w:rPr>
                <w:rFonts w:ascii="Times New Roman" w:hAnsi="Times New Roman" w:cs="Times New Roman"/>
                <w:sz w:val="24"/>
                <w:szCs w:val="24"/>
              </w:rPr>
              <w:lastRenderedPageBreak/>
              <w:t>9.3.2</w:t>
            </w:r>
          </w:p>
        </w:tc>
        <w:tc>
          <w:tcPr>
            <w:tcW w:w="3741" w:type="dxa"/>
          </w:tcPr>
          <w:p w:rsidR="00923714" w:rsidRPr="00E44315" w:rsidRDefault="00923714" w:rsidP="00213654">
            <w:pPr>
              <w:pStyle w:val="prastasiniatinklio"/>
              <w:spacing w:before="0" w:beforeAutospacing="0" w:after="0" w:afterAutospacing="0"/>
            </w:pPr>
            <w:r w:rsidRPr="00E44315">
              <w:t>Koks yra bendras kompetentingų institucijų apsilankymų vietoje ataskaitiniu laikotarpiu skaičius;</w:t>
            </w:r>
          </w:p>
          <w:p w:rsidR="00CB6AB8" w:rsidRPr="00E44315" w:rsidRDefault="00CB6AB8" w:rsidP="00213654">
            <w:pPr>
              <w:rPr>
                <w:rFonts w:ascii="Times New Roman" w:hAnsi="Times New Roman" w:cs="Times New Roman"/>
                <w:sz w:val="24"/>
                <w:szCs w:val="24"/>
              </w:rPr>
            </w:pPr>
          </w:p>
        </w:tc>
        <w:tc>
          <w:tcPr>
            <w:tcW w:w="4758" w:type="dxa"/>
          </w:tcPr>
          <w:p w:rsidR="00CB6AB8" w:rsidRPr="00E44315" w:rsidRDefault="00520E4E" w:rsidP="00213654">
            <w:pPr>
              <w:rPr>
                <w:rFonts w:ascii="Times New Roman" w:hAnsi="Times New Roman" w:cs="Times New Roman"/>
                <w:sz w:val="24"/>
                <w:szCs w:val="24"/>
              </w:rPr>
            </w:pPr>
            <w:r>
              <w:rPr>
                <w:rFonts w:ascii="Times New Roman" w:hAnsi="Times New Roman" w:cs="Times New Roman"/>
                <w:sz w:val="24"/>
                <w:szCs w:val="24"/>
              </w:rPr>
              <w:t>709</w:t>
            </w:r>
          </w:p>
        </w:tc>
      </w:tr>
      <w:tr w:rsidR="00CB6AB8" w:rsidRPr="00E44315" w:rsidTr="0049617E">
        <w:tc>
          <w:tcPr>
            <w:tcW w:w="1276" w:type="dxa"/>
          </w:tcPr>
          <w:p w:rsidR="00CB6AB8" w:rsidRPr="00E44315" w:rsidRDefault="00792F19" w:rsidP="00213654">
            <w:pPr>
              <w:rPr>
                <w:rFonts w:ascii="Times New Roman" w:hAnsi="Times New Roman" w:cs="Times New Roman"/>
                <w:sz w:val="24"/>
                <w:szCs w:val="24"/>
              </w:rPr>
            </w:pPr>
            <w:r w:rsidRPr="00E44315">
              <w:rPr>
                <w:rFonts w:ascii="Times New Roman" w:hAnsi="Times New Roman" w:cs="Times New Roman"/>
                <w:sz w:val="24"/>
                <w:szCs w:val="24"/>
              </w:rPr>
              <w:t>9.3.</w:t>
            </w:r>
            <w:r w:rsidR="00E44902" w:rsidRPr="00E44315">
              <w:rPr>
                <w:rFonts w:ascii="Times New Roman" w:hAnsi="Times New Roman" w:cs="Times New Roman"/>
                <w:sz w:val="24"/>
                <w:szCs w:val="24"/>
              </w:rPr>
              <w:t>3</w:t>
            </w:r>
          </w:p>
        </w:tc>
        <w:tc>
          <w:tcPr>
            <w:tcW w:w="3741" w:type="dxa"/>
          </w:tcPr>
          <w:p w:rsidR="00923714" w:rsidRPr="00E44315" w:rsidRDefault="00792F19" w:rsidP="00213654">
            <w:pPr>
              <w:pStyle w:val="prastasiniatinklio"/>
              <w:spacing w:before="0" w:beforeAutospacing="0" w:after="0" w:afterAutospacing="0"/>
            </w:pPr>
            <w:r w:rsidRPr="00E44315">
              <w:t xml:space="preserve">Koks yra </w:t>
            </w:r>
            <w:r w:rsidR="00923714" w:rsidRPr="00E44315">
              <w:t>bendras įrenginių, kurių vietose ataskaitiniu laikotarpiu vyko apsilankymai vietoje, skaičius;</w:t>
            </w:r>
          </w:p>
          <w:p w:rsidR="00CB6AB8" w:rsidRPr="00E44315" w:rsidRDefault="00CB6AB8" w:rsidP="00213654">
            <w:pPr>
              <w:rPr>
                <w:rFonts w:ascii="Times New Roman" w:hAnsi="Times New Roman" w:cs="Times New Roman"/>
                <w:sz w:val="24"/>
                <w:szCs w:val="24"/>
              </w:rPr>
            </w:pPr>
          </w:p>
        </w:tc>
        <w:tc>
          <w:tcPr>
            <w:tcW w:w="4758" w:type="dxa"/>
          </w:tcPr>
          <w:p w:rsidR="00CB6AB8" w:rsidRPr="00E44315" w:rsidRDefault="00D519D0" w:rsidP="00213654">
            <w:pPr>
              <w:rPr>
                <w:rFonts w:ascii="Times New Roman" w:hAnsi="Times New Roman" w:cs="Times New Roman"/>
                <w:sz w:val="24"/>
                <w:szCs w:val="24"/>
              </w:rPr>
            </w:pPr>
            <w:r>
              <w:rPr>
                <w:rFonts w:ascii="Times New Roman" w:hAnsi="Times New Roman" w:cs="Times New Roman"/>
                <w:sz w:val="24"/>
                <w:szCs w:val="24"/>
              </w:rPr>
              <w:t>262</w:t>
            </w:r>
          </w:p>
        </w:tc>
      </w:tr>
      <w:tr w:rsidR="00CB6AB8" w:rsidRPr="00E44315" w:rsidTr="0049617E">
        <w:tc>
          <w:tcPr>
            <w:tcW w:w="1276" w:type="dxa"/>
          </w:tcPr>
          <w:p w:rsidR="00CB6AB8" w:rsidRPr="00E44315" w:rsidRDefault="00792F19" w:rsidP="00213654">
            <w:pPr>
              <w:rPr>
                <w:rFonts w:ascii="Times New Roman" w:hAnsi="Times New Roman" w:cs="Times New Roman"/>
                <w:sz w:val="24"/>
                <w:szCs w:val="24"/>
              </w:rPr>
            </w:pPr>
            <w:r w:rsidRPr="00E44315">
              <w:rPr>
                <w:rFonts w:ascii="Times New Roman" w:hAnsi="Times New Roman" w:cs="Times New Roman"/>
                <w:sz w:val="24"/>
                <w:szCs w:val="24"/>
              </w:rPr>
              <w:t>9.3.</w:t>
            </w:r>
            <w:r w:rsidR="00E44902" w:rsidRPr="00E44315">
              <w:rPr>
                <w:rFonts w:ascii="Times New Roman" w:hAnsi="Times New Roman" w:cs="Times New Roman"/>
                <w:sz w:val="24"/>
                <w:szCs w:val="24"/>
              </w:rPr>
              <w:t>4</w:t>
            </w:r>
          </w:p>
        </w:tc>
        <w:tc>
          <w:tcPr>
            <w:tcW w:w="3741" w:type="dxa"/>
          </w:tcPr>
          <w:p w:rsidR="00792F19" w:rsidRPr="00E44315" w:rsidRDefault="00045A1F" w:rsidP="00213654">
            <w:pPr>
              <w:pStyle w:val="prastasiniatinklio"/>
              <w:spacing w:before="0" w:beforeAutospacing="0" w:after="0" w:afterAutospacing="0"/>
            </w:pPr>
            <w:r>
              <w:t>B</w:t>
            </w:r>
            <w:r w:rsidR="00792F19" w:rsidRPr="00E44315">
              <w:t>endras apsilankymų vietoje, per kuriuos ataskaitiniu laikotarpiu kompetentingos institucijos vykdė išmetamųjų teršalų matavimą ir (arba) ėmė atliekų mėginius arba šie veiksmai buvo atlikti jų vardu, skaičius;</w:t>
            </w:r>
          </w:p>
          <w:p w:rsidR="00CB6AB8" w:rsidRPr="00E44315" w:rsidRDefault="00CB6AB8" w:rsidP="00213654">
            <w:pPr>
              <w:rPr>
                <w:rFonts w:ascii="Times New Roman" w:hAnsi="Times New Roman" w:cs="Times New Roman"/>
                <w:sz w:val="24"/>
                <w:szCs w:val="24"/>
              </w:rPr>
            </w:pPr>
          </w:p>
        </w:tc>
        <w:tc>
          <w:tcPr>
            <w:tcW w:w="4758" w:type="dxa"/>
          </w:tcPr>
          <w:p w:rsidR="00CB6AB8" w:rsidRPr="00E44315" w:rsidRDefault="006E33E4" w:rsidP="00213654">
            <w:pPr>
              <w:rPr>
                <w:rFonts w:ascii="Times New Roman" w:hAnsi="Times New Roman" w:cs="Times New Roman"/>
                <w:sz w:val="24"/>
                <w:szCs w:val="24"/>
              </w:rPr>
            </w:pPr>
            <w:r>
              <w:rPr>
                <w:rFonts w:ascii="Times New Roman" w:hAnsi="Times New Roman" w:cs="Times New Roman"/>
                <w:sz w:val="24"/>
                <w:szCs w:val="24"/>
              </w:rPr>
              <w:t>351</w:t>
            </w:r>
          </w:p>
        </w:tc>
      </w:tr>
      <w:tr w:rsidR="00CB6AB8" w:rsidRPr="00E44315" w:rsidTr="0049617E">
        <w:tc>
          <w:tcPr>
            <w:tcW w:w="1276" w:type="dxa"/>
          </w:tcPr>
          <w:p w:rsidR="00CB6AB8" w:rsidRPr="00E44315" w:rsidRDefault="00792F19" w:rsidP="00213654">
            <w:pPr>
              <w:rPr>
                <w:rFonts w:ascii="Times New Roman" w:hAnsi="Times New Roman" w:cs="Times New Roman"/>
                <w:sz w:val="24"/>
                <w:szCs w:val="24"/>
              </w:rPr>
            </w:pPr>
            <w:r w:rsidRPr="00E44315">
              <w:rPr>
                <w:rFonts w:ascii="Times New Roman" w:hAnsi="Times New Roman" w:cs="Times New Roman"/>
                <w:sz w:val="24"/>
                <w:szCs w:val="24"/>
              </w:rPr>
              <w:t>9.3.</w:t>
            </w:r>
            <w:r w:rsidR="00E44902" w:rsidRPr="00E44315">
              <w:rPr>
                <w:rFonts w:ascii="Times New Roman" w:hAnsi="Times New Roman" w:cs="Times New Roman"/>
                <w:sz w:val="24"/>
                <w:szCs w:val="24"/>
              </w:rPr>
              <w:t>5</w:t>
            </w:r>
          </w:p>
        </w:tc>
        <w:tc>
          <w:tcPr>
            <w:tcW w:w="3741" w:type="dxa"/>
          </w:tcPr>
          <w:p w:rsidR="00792F19" w:rsidRPr="00E44315" w:rsidRDefault="00F155BD" w:rsidP="00213654">
            <w:pPr>
              <w:pStyle w:val="prastasiniatinklio"/>
              <w:spacing w:before="0" w:beforeAutospacing="0" w:after="0" w:afterAutospacing="0"/>
            </w:pPr>
            <w:r w:rsidRPr="00E44315">
              <w:t>Veiksmai,</w:t>
            </w:r>
            <w:r w:rsidR="00792F19" w:rsidRPr="00E44315">
              <w:t xml:space="preserve"> (sankcijos ar kitos priemonės), kurių ataskaitiniu laikotarpiu imtasi avarijų ir kitų įvykių, taip pat leidimų sąlygų nesilaikymo atvejais.</w:t>
            </w:r>
          </w:p>
          <w:p w:rsidR="00CB6AB8" w:rsidRPr="00E44315" w:rsidRDefault="00CB6AB8" w:rsidP="00213654">
            <w:pPr>
              <w:rPr>
                <w:rFonts w:ascii="Times New Roman" w:hAnsi="Times New Roman" w:cs="Times New Roman"/>
                <w:sz w:val="24"/>
                <w:szCs w:val="24"/>
              </w:rPr>
            </w:pPr>
          </w:p>
        </w:tc>
        <w:tc>
          <w:tcPr>
            <w:tcW w:w="4758" w:type="dxa"/>
          </w:tcPr>
          <w:p w:rsidR="00CB6AB8" w:rsidRPr="00E44315" w:rsidRDefault="00450040" w:rsidP="00213654">
            <w:pPr>
              <w:rPr>
                <w:rFonts w:ascii="Times New Roman" w:hAnsi="Times New Roman" w:cs="Times New Roman"/>
                <w:sz w:val="24"/>
                <w:szCs w:val="24"/>
              </w:rPr>
            </w:pPr>
            <w:r>
              <w:rPr>
                <w:rFonts w:ascii="Times New Roman" w:hAnsi="Times New Roman" w:cs="Times New Roman"/>
                <w:sz w:val="24"/>
                <w:szCs w:val="24"/>
              </w:rPr>
              <w:t>151</w:t>
            </w:r>
            <w:r w:rsidR="00C17413">
              <w:rPr>
                <w:rFonts w:ascii="Times New Roman" w:hAnsi="Times New Roman" w:cs="Times New Roman"/>
                <w:sz w:val="24"/>
                <w:szCs w:val="24"/>
              </w:rPr>
              <w:t xml:space="preserve"> atvejais skirtos administracinės baudos</w:t>
            </w:r>
          </w:p>
        </w:tc>
      </w:tr>
      <w:tr w:rsidR="00CB6AB8" w:rsidRPr="00E44315" w:rsidTr="0049617E">
        <w:tc>
          <w:tcPr>
            <w:tcW w:w="1276" w:type="dxa"/>
          </w:tcPr>
          <w:p w:rsidR="00CB6AB8" w:rsidRPr="00E44315" w:rsidRDefault="00E44902" w:rsidP="00213654">
            <w:pPr>
              <w:rPr>
                <w:rFonts w:ascii="Times New Roman" w:hAnsi="Times New Roman" w:cs="Times New Roman"/>
                <w:sz w:val="24"/>
                <w:szCs w:val="24"/>
              </w:rPr>
            </w:pPr>
            <w:r w:rsidRPr="00E44315">
              <w:rPr>
                <w:rFonts w:ascii="Times New Roman" w:hAnsi="Times New Roman" w:cs="Times New Roman"/>
                <w:sz w:val="24"/>
                <w:szCs w:val="24"/>
              </w:rPr>
              <w:t>10.</w:t>
            </w:r>
          </w:p>
        </w:tc>
        <w:tc>
          <w:tcPr>
            <w:tcW w:w="3741" w:type="dxa"/>
          </w:tcPr>
          <w:p w:rsidR="00E44902" w:rsidRPr="00E44315" w:rsidRDefault="00E44902" w:rsidP="00213654">
            <w:pPr>
              <w:pStyle w:val="prastasiniatinklio"/>
              <w:spacing w:before="0" w:beforeAutospacing="0" w:after="0" w:afterAutospacing="0"/>
            </w:pPr>
            <w:r w:rsidRPr="00E44315">
              <w:t xml:space="preserve">Ar per ataskaitinį laikotarpį pasitaikė atvejų, kai buvo taikyti 18 straipsnyje nustatyti tarpvalstybinio informavimo ir bendradarbiavimo reikalavimai? Pateikite pavydžių, </w:t>
            </w:r>
            <w:r w:rsidRPr="00E44315">
              <w:lastRenderedPageBreak/>
              <w:t>kaip buvo taikytos bendrosios procedūros.</w:t>
            </w:r>
          </w:p>
          <w:p w:rsidR="00CB6AB8" w:rsidRPr="00E44315" w:rsidRDefault="00CB6AB8" w:rsidP="00213654">
            <w:pPr>
              <w:rPr>
                <w:rFonts w:ascii="Times New Roman" w:hAnsi="Times New Roman" w:cs="Times New Roman"/>
                <w:sz w:val="24"/>
                <w:szCs w:val="24"/>
              </w:rPr>
            </w:pPr>
          </w:p>
        </w:tc>
        <w:tc>
          <w:tcPr>
            <w:tcW w:w="4758" w:type="dxa"/>
          </w:tcPr>
          <w:p w:rsidR="00CB6AB8" w:rsidRPr="00E44315" w:rsidRDefault="00B66339" w:rsidP="00213654">
            <w:pPr>
              <w:rPr>
                <w:rFonts w:ascii="Times New Roman" w:hAnsi="Times New Roman" w:cs="Times New Roman"/>
                <w:sz w:val="24"/>
                <w:szCs w:val="24"/>
              </w:rPr>
            </w:pPr>
            <w:r w:rsidRPr="00E44315">
              <w:rPr>
                <w:rFonts w:ascii="Times New Roman" w:hAnsi="Times New Roman" w:cs="Times New Roman"/>
                <w:sz w:val="24"/>
                <w:szCs w:val="24"/>
              </w:rPr>
              <w:lastRenderedPageBreak/>
              <w:t>Tokių atvejų nepasitaikė</w:t>
            </w:r>
          </w:p>
        </w:tc>
      </w:tr>
      <w:tr w:rsidR="00CB6AB8" w:rsidRPr="00E44315" w:rsidTr="0049617E">
        <w:tc>
          <w:tcPr>
            <w:tcW w:w="1276" w:type="dxa"/>
          </w:tcPr>
          <w:p w:rsidR="00CB6AB8" w:rsidRPr="00E44315" w:rsidRDefault="00B66339" w:rsidP="00213654">
            <w:pPr>
              <w:rPr>
                <w:rFonts w:ascii="Times New Roman" w:hAnsi="Times New Roman" w:cs="Times New Roman"/>
                <w:sz w:val="24"/>
                <w:szCs w:val="24"/>
              </w:rPr>
            </w:pPr>
            <w:r w:rsidRPr="00E44315">
              <w:rPr>
                <w:rFonts w:ascii="Times New Roman" w:hAnsi="Times New Roman" w:cs="Times New Roman"/>
                <w:sz w:val="24"/>
                <w:szCs w:val="24"/>
              </w:rPr>
              <w:lastRenderedPageBreak/>
              <w:t>11.1</w:t>
            </w:r>
          </w:p>
        </w:tc>
        <w:tc>
          <w:tcPr>
            <w:tcW w:w="3741" w:type="dxa"/>
          </w:tcPr>
          <w:p w:rsidR="00B66339" w:rsidRPr="00E44315" w:rsidRDefault="00B66339" w:rsidP="00213654">
            <w:pPr>
              <w:pStyle w:val="prastasiniatinklio"/>
              <w:spacing w:before="0" w:beforeAutospacing="0" w:after="0" w:afterAutospacing="0"/>
            </w:pPr>
            <w:r w:rsidRPr="00E44315">
              <w:t>Ar Jūsų valstybėje narėje yra konkrečių susirūpinimą keliančių direktyvos įgyvendinimo klausimų? Jei taip, nurodykite juos.</w:t>
            </w:r>
          </w:p>
          <w:p w:rsidR="00CB6AB8" w:rsidRPr="00E44315" w:rsidRDefault="00CB6AB8" w:rsidP="00213654">
            <w:pPr>
              <w:rPr>
                <w:rFonts w:ascii="Times New Roman" w:hAnsi="Times New Roman" w:cs="Times New Roman"/>
                <w:sz w:val="24"/>
                <w:szCs w:val="24"/>
              </w:rPr>
            </w:pPr>
          </w:p>
        </w:tc>
        <w:tc>
          <w:tcPr>
            <w:tcW w:w="4758" w:type="dxa"/>
          </w:tcPr>
          <w:p w:rsidR="00F4148E" w:rsidRDefault="005C627A" w:rsidP="00213654">
            <w:pPr>
              <w:rPr>
                <w:rFonts w:ascii="Times New Roman" w:hAnsi="Times New Roman" w:cs="Times New Roman"/>
                <w:sz w:val="24"/>
                <w:szCs w:val="24"/>
              </w:rPr>
            </w:pPr>
            <w:r w:rsidRPr="00E44315">
              <w:rPr>
                <w:rFonts w:ascii="Times New Roman" w:hAnsi="Times New Roman" w:cs="Times New Roman"/>
                <w:sz w:val="24"/>
                <w:szCs w:val="24"/>
              </w:rPr>
              <w:t>Pasitaiko, kad susirūpinimą kelia prasta paraiškų, teikiamų Leidimams gauti, kokybė</w:t>
            </w:r>
            <w:r w:rsidR="005414C1">
              <w:rPr>
                <w:rFonts w:ascii="Times New Roman" w:hAnsi="Times New Roman" w:cs="Times New Roman"/>
                <w:sz w:val="24"/>
                <w:szCs w:val="24"/>
              </w:rPr>
              <w:t>.</w:t>
            </w:r>
            <w:r w:rsidRPr="00E44315">
              <w:rPr>
                <w:rFonts w:ascii="Times New Roman" w:hAnsi="Times New Roman" w:cs="Times New Roman"/>
                <w:sz w:val="24"/>
                <w:szCs w:val="24"/>
              </w:rPr>
              <w:t xml:space="preserve"> </w:t>
            </w:r>
            <w:r w:rsidR="005414C1">
              <w:rPr>
                <w:rFonts w:ascii="Times New Roman" w:hAnsi="Times New Roman" w:cs="Times New Roman"/>
                <w:sz w:val="24"/>
                <w:szCs w:val="24"/>
              </w:rPr>
              <w:t>J</w:t>
            </w:r>
            <w:r w:rsidR="00F4148E">
              <w:rPr>
                <w:rFonts w:ascii="Times New Roman" w:hAnsi="Times New Roman" w:cs="Times New Roman"/>
                <w:sz w:val="24"/>
                <w:szCs w:val="24"/>
              </w:rPr>
              <w:t xml:space="preserve">as </w:t>
            </w:r>
            <w:r w:rsidR="005414C1">
              <w:rPr>
                <w:rFonts w:ascii="Times New Roman" w:hAnsi="Times New Roman" w:cs="Times New Roman"/>
                <w:sz w:val="24"/>
                <w:szCs w:val="24"/>
              </w:rPr>
              <w:t xml:space="preserve">veiklos vykdytojui </w:t>
            </w:r>
            <w:r w:rsidR="00F4148E">
              <w:rPr>
                <w:rFonts w:ascii="Times New Roman" w:hAnsi="Times New Roman" w:cs="Times New Roman"/>
                <w:sz w:val="24"/>
                <w:szCs w:val="24"/>
              </w:rPr>
              <w:t>tenka taisyti, kas prailgina leidimo rengimo laiką.</w:t>
            </w:r>
          </w:p>
          <w:p w:rsidR="00CB6AB8" w:rsidRPr="00E44315" w:rsidRDefault="005414C1" w:rsidP="005C29CD">
            <w:pPr>
              <w:rPr>
                <w:rFonts w:ascii="Times New Roman" w:hAnsi="Times New Roman" w:cs="Times New Roman"/>
                <w:sz w:val="24"/>
                <w:szCs w:val="24"/>
              </w:rPr>
            </w:pPr>
            <w:r>
              <w:rPr>
                <w:rFonts w:ascii="Times New Roman" w:hAnsi="Times New Roman" w:cs="Times New Roman"/>
                <w:sz w:val="24"/>
                <w:szCs w:val="24"/>
              </w:rPr>
              <w:t xml:space="preserve">Pasigendama patirties </w:t>
            </w:r>
            <w:r w:rsidR="005C29CD">
              <w:rPr>
                <w:rFonts w:ascii="Times New Roman" w:hAnsi="Times New Roman" w:cs="Times New Roman"/>
                <w:sz w:val="24"/>
                <w:szCs w:val="24"/>
              </w:rPr>
              <w:t>praktiškai taikant</w:t>
            </w:r>
            <w:r w:rsidR="005C627A" w:rsidRPr="00E44315">
              <w:rPr>
                <w:rFonts w:ascii="Times New Roman" w:hAnsi="Times New Roman" w:cs="Times New Roman"/>
                <w:sz w:val="24"/>
                <w:szCs w:val="24"/>
              </w:rPr>
              <w:t xml:space="preserve"> GPGB informacini</w:t>
            </w:r>
            <w:r w:rsidR="005C29CD">
              <w:rPr>
                <w:rFonts w:ascii="Times New Roman" w:hAnsi="Times New Roman" w:cs="Times New Roman"/>
                <w:sz w:val="24"/>
                <w:szCs w:val="24"/>
              </w:rPr>
              <w:t>us</w:t>
            </w:r>
            <w:r w:rsidR="005C627A" w:rsidRPr="00E44315">
              <w:rPr>
                <w:rFonts w:ascii="Times New Roman" w:hAnsi="Times New Roman" w:cs="Times New Roman"/>
                <w:sz w:val="24"/>
                <w:szCs w:val="24"/>
              </w:rPr>
              <w:t xml:space="preserve"> dokument</w:t>
            </w:r>
            <w:r w:rsidR="005C29CD">
              <w:rPr>
                <w:rFonts w:ascii="Times New Roman" w:hAnsi="Times New Roman" w:cs="Times New Roman"/>
                <w:sz w:val="24"/>
                <w:szCs w:val="24"/>
              </w:rPr>
              <w:t>us</w:t>
            </w:r>
            <w:r w:rsidR="005C627A" w:rsidRPr="00E44315">
              <w:rPr>
                <w:rFonts w:ascii="Times New Roman" w:hAnsi="Times New Roman" w:cs="Times New Roman"/>
                <w:sz w:val="24"/>
                <w:szCs w:val="24"/>
              </w:rPr>
              <w:t xml:space="preserve"> rengiant Leidimus ir nustatant jų reikalavimus.</w:t>
            </w:r>
          </w:p>
        </w:tc>
      </w:tr>
      <w:tr w:rsidR="0008029A" w:rsidRPr="00E44315" w:rsidTr="0049617E">
        <w:tc>
          <w:tcPr>
            <w:tcW w:w="1276" w:type="dxa"/>
          </w:tcPr>
          <w:p w:rsidR="0008029A" w:rsidRPr="00E44315" w:rsidRDefault="000E1AE6" w:rsidP="00213654">
            <w:pPr>
              <w:rPr>
                <w:rFonts w:ascii="Times New Roman" w:hAnsi="Times New Roman" w:cs="Times New Roman"/>
                <w:sz w:val="24"/>
                <w:szCs w:val="24"/>
              </w:rPr>
            </w:pPr>
            <w:r w:rsidRPr="00E44315">
              <w:rPr>
                <w:rFonts w:ascii="Times New Roman" w:hAnsi="Times New Roman" w:cs="Times New Roman"/>
                <w:sz w:val="24"/>
                <w:szCs w:val="24"/>
              </w:rPr>
              <w:t>11.2</w:t>
            </w:r>
          </w:p>
        </w:tc>
        <w:tc>
          <w:tcPr>
            <w:tcW w:w="3741" w:type="dxa"/>
          </w:tcPr>
          <w:p w:rsidR="004B2A8A" w:rsidRPr="00E44315" w:rsidRDefault="004B2A8A" w:rsidP="004B2A8A">
            <w:pPr>
              <w:pStyle w:val="prastasiniatinklio"/>
            </w:pPr>
            <w:r w:rsidRPr="00E44315">
              <w:t>Ar Jūsų valstybė narė turi konkrečios, su Direktyvos 2010/75/ES įgyvendinimu susijusios informacijos, kuri būtų svarbi nagrinėjant pagal šį klausimyną pateiktą informaciją? Jei taip, pateikite šią informaciją.</w:t>
            </w:r>
          </w:p>
          <w:p w:rsidR="0008029A" w:rsidRPr="00E44315" w:rsidRDefault="0008029A" w:rsidP="00213654">
            <w:pPr>
              <w:rPr>
                <w:rFonts w:ascii="Times New Roman" w:hAnsi="Times New Roman" w:cs="Times New Roman"/>
                <w:sz w:val="24"/>
                <w:szCs w:val="24"/>
              </w:rPr>
            </w:pPr>
          </w:p>
        </w:tc>
        <w:tc>
          <w:tcPr>
            <w:tcW w:w="4758" w:type="dxa"/>
          </w:tcPr>
          <w:p w:rsidR="0008029A" w:rsidRPr="00E44315" w:rsidRDefault="000E1AE6" w:rsidP="00213654">
            <w:pPr>
              <w:rPr>
                <w:rFonts w:ascii="Times New Roman" w:hAnsi="Times New Roman" w:cs="Times New Roman"/>
                <w:sz w:val="24"/>
                <w:szCs w:val="24"/>
              </w:rPr>
            </w:pPr>
            <w:r w:rsidRPr="00E44315">
              <w:rPr>
                <w:rFonts w:ascii="Times New Roman" w:hAnsi="Times New Roman" w:cs="Times New Roman"/>
                <w:sz w:val="24"/>
                <w:szCs w:val="24"/>
              </w:rPr>
              <w:t>Tokios informacijos neturime</w:t>
            </w:r>
          </w:p>
        </w:tc>
      </w:tr>
    </w:tbl>
    <w:p w:rsidR="0013470A" w:rsidRPr="00E44315" w:rsidRDefault="0013470A" w:rsidP="00213654">
      <w:pPr>
        <w:rPr>
          <w:rFonts w:ascii="Times New Roman" w:hAnsi="Times New Roman" w:cs="Times New Roman"/>
          <w:sz w:val="24"/>
          <w:szCs w:val="24"/>
        </w:rPr>
      </w:pPr>
    </w:p>
    <w:p w:rsidR="00C07CB9" w:rsidRPr="00E44315" w:rsidRDefault="00C07CB9" w:rsidP="00213654">
      <w:pPr>
        <w:rPr>
          <w:rFonts w:ascii="Times New Roman" w:hAnsi="Times New Roman" w:cs="Times New Roman"/>
          <w:sz w:val="24"/>
          <w:szCs w:val="24"/>
        </w:rPr>
      </w:pPr>
    </w:p>
    <w:p w:rsidR="007047BF" w:rsidRDefault="007047BF" w:rsidP="00B57204">
      <w:pPr>
        <w:spacing w:before="100" w:beforeAutospacing="1" w:after="100" w:afterAutospacing="1"/>
        <w:rPr>
          <w:rFonts w:ascii="Times New Roman" w:eastAsia="Times New Roman" w:hAnsi="Times New Roman" w:cs="Times New Roman"/>
          <w:b/>
          <w:sz w:val="24"/>
          <w:szCs w:val="24"/>
          <w:lang w:eastAsia="lt-LT"/>
        </w:rPr>
      </w:pPr>
    </w:p>
    <w:p w:rsidR="007047BF" w:rsidRDefault="007047BF" w:rsidP="007047BF">
      <w:pPr>
        <w:spacing w:before="100" w:beforeAutospacing="1" w:after="100" w:afterAutospacing="1"/>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 DALIS</w:t>
      </w:r>
    </w:p>
    <w:p w:rsidR="007047BF" w:rsidRDefault="007047BF" w:rsidP="007047BF">
      <w:pPr>
        <w:spacing w:before="100" w:beforeAutospacing="1" w:after="100" w:afterAutospacing="1"/>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Atsakymas į 2.1 klausimą </w:t>
      </w:r>
    </w:p>
    <w:p w:rsidR="007047BF" w:rsidRDefault="007047BF" w:rsidP="007047BF">
      <w:pPr>
        <w:rPr>
          <w:rFonts w:ascii="Times New Roman" w:hAnsi="Times New Roman" w:cs="Times New Roman"/>
          <w:sz w:val="24"/>
          <w:szCs w:val="24"/>
        </w:rPr>
      </w:pPr>
    </w:p>
    <w:tbl>
      <w:tblPr>
        <w:tblStyle w:val="Lentelstinklelis"/>
        <w:tblW w:w="0" w:type="auto"/>
        <w:tblLayout w:type="fixed"/>
        <w:tblLook w:val="01E0" w:firstRow="1" w:lastRow="1" w:firstColumn="1" w:lastColumn="1" w:noHBand="0" w:noVBand="0"/>
      </w:tblPr>
      <w:tblGrid>
        <w:gridCol w:w="830"/>
        <w:gridCol w:w="1798"/>
        <w:gridCol w:w="1453"/>
        <w:gridCol w:w="1405"/>
        <w:gridCol w:w="1616"/>
        <w:gridCol w:w="1416"/>
        <w:gridCol w:w="1336"/>
      </w:tblGrid>
      <w:tr w:rsidR="007047BF" w:rsidTr="007047BF">
        <w:tc>
          <w:tcPr>
            <w:tcW w:w="2628" w:type="dxa"/>
            <w:gridSpan w:val="2"/>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ĮRENGINIO TIPAS</w:t>
            </w:r>
          </w:p>
        </w:tc>
        <w:tc>
          <w:tcPr>
            <w:tcW w:w="2858" w:type="dxa"/>
            <w:gridSpan w:val="2"/>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A. ĮRENGINIAI</w:t>
            </w:r>
          </w:p>
        </w:tc>
        <w:tc>
          <w:tcPr>
            <w:tcW w:w="161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B. ESMINIAI PAKEITIMAI</w:t>
            </w:r>
          </w:p>
        </w:tc>
        <w:tc>
          <w:tcPr>
            <w:tcW w:w="2752" w:type="dxa"/>
            <w:gridSpan w:val="2"/>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C. LEIDIMO SĄLYGŲ PERŽIŪRĖJIMAS IR ATNAUJINIMAS</w:t>
            </w:r>
          </w:p>
        </w:tc>
      </w:tr>
      <w:tr w:rsidR="007047BF" w:rsidTr="007047BF">
        <w:trPr>
          <w:trHeight w:val="3174"/>
        </w:trPr>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Kodas</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Pagrindinė įrenginyje vykdomos veiklos rūšis, kaip nustatyta Direktyvos 2008/1/EB  1 priede</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1. Įrenginių skaičius</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 Įrenginių, kuriems eksploatuoti išduotas visas Direktyvos 2008/1/EB nuostatas atitinkantis leidimas, skaičius</w:t>
            </w:r>
          </w:p>
        </w:tc>
        <w:tc>
          <w:tcPr>
            <w:tcW w:w="1616"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3. Esminių pakeitimų, atliktų per ataskaitinį laikotarpį neturint leidimo pagal Direktyvos 2008/1/EB 12 straipsnio 2 dalį išduoto leidimo, skaičius</w:t>
            </w:r>
          </w:p>
        </w:tc>
        <w:tc>
          <w:tcPr>
            <w:tcW w:w="1416"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4. Įrenginių, kuriems eksploatuoti išduotų TIPK leidimų sąlygos per ataskaitinį laikotarpį buvo peržiūrėtos pagal Direktyvos 2008/1/EB 13 straipsnį, skaičius</w:t>
            </w:r>
          </w:p>
        </w:tc>
        <w:tc>
          <w:tcPr>
            <w:tcW w:w="1336"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5. Įrenginių, kuriems eksploatuoti išduotų TIPK leidimų sąlygos per ataskaitinį laikotarpį buvo atnaujintos pagal Direktyvos 2008/1/EB 13 straipsnį, skaičius</w:t>
            </w:r>
          </w:p>
        </w:tc>
      </w:tr>
      <w:tr w:rsidR="007047BF" w:rsidTr="007047BF">
        <w:trPr>
          <w:trHeight w:val="347"/>
        </w:trPr>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1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3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b/>
                <w:color w:val="000000"/>
                <w:sz w:val="24"/>
                <w:szCs w:val="24"/>
              </w:rPr>
            </w:pPr>
            <w:r>
              <w:rPr>
                <w:rFonts w:ascii="Times New Roman" w:hAnsi="Times New Roman" w:cs="Times New Roman"/>
                <w:b/>
                <w:color w:val="000000"/>
                <w:sz w:val="24"/>
                <w:szCs w:val="24"/>
              </w:rPr>
              <w:t>Energetika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Degimas (dideli kurą deginantys įrenginiai, &gt;50MW)</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33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Naftos ir dujų perdirbimas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Kokso krosnys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Anglies dujofikavimas ir suskystinimas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b/>
                <w:color w:val="000000"/>
                <w:sz w:val="24"/>
                <w:szCs w:val="24"/>
              </w:rPr>
            </w:pPr>
            <w:r>
              <w:rPr>
                <w:rFonts w:ascii="Times New Roman" w:hAnsi="Times New Roman" w:cs="Times New Roman"/>
                <w:b/>
                <w:color w:val="000000"/>
                <w:sz w:val="24"/>
                <w:szCs w:val="24"/>
              </w:rPr>
              <w:t>Metalai</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Metalo rūdos kalcinavimas ir (arba) kaitinimas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Ketaus arba plieno gamyba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2.3 a)</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Karšto valcavimo staklės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2.3 b)</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Kalvės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rPr>
          <w:cantSplit/>
        </w:trPr>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2.3 c)</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Dengimas apsauginėmis lydyto metalo dangomis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Liejyklos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2.5 a)</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Neapdirbtų spalvotojų metalų gamyba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2.5 b)</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Spalvotųjų metalų lydymas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Metalų ir plastinių medžiagų paviršių apdorojimas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b/>
                <w:bCs/>
                <w:color w:val="000000"/>
                <w:sz w:val="24"/>
                <w:szCs w:val="24"/>
              </w:rPr>
              <w:t>Naudingosios iškasenos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Cemento klinkerio arba kalkių gamyba</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Asbesto gamyba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Stiklo gamyba</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rPr>
          <w:trHeight w:val="788"/>
        </w:trPr>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Mineralinių medžiagų lydymas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Keraminių gaminių gamyba</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b/>
                <w:color w:val="000000"/>
                <w:sz w:val="24"/>
                <w:szCs w:val="24"/>
              </w:rPr>
            </w:pPr>
            <w:r>
              <w:rPr>
                <w:rFonts w:ascii="Times New Roman" w:hAnsi="Times New Roman" w:cs="Times New Roman"/>
                <w:b/>
                <w:color w:val="000000"/>
                <w:sz w:val="24"/>
                <w:szCs w:val="24"/>
              </w:rPr>
              <w:t>Cheminės medžiagos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Organinių cheminių medžiagų gamyba</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Neorganinių cheminių medžiagų gamyba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Trąšų gamyba</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Augalų apsaugos produktų ir (arba) biocidų gamyba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Farmacijos produktų gamyba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Sprogmenų gamyba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b/>
                <w:color w:val="000000"/>
                <w:sz w:val="24"/>
                <w:szCs w:val="24"/>
              </w:rPr>
            </w:pPr>
            <w:r>
              <w:rPr>
                <w:rFonts w:ascii="Times New Roman" w:hAnsi="Times New Roman" w:cs="Times New Roman"/>
                <w:b/>
                <w:color w:val="000000"/>
                <w:sz w:val="24"/>
                <w:szCs w:val="24"/>
              </w:rPr>
              <w:t>Atliekos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rPr>
          <w:trHeight w:val="1393"/>
        </w:trPr>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Pavojingų atliekų šalinimas arba panaudojimas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rPr>
          <w:trHeight w:val="109"/>
        </w:trPr>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Komunalinių atliekų deginimas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Nepavojingų atliekų šalinimas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Sąvartynai</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3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b/>
                <w:color w:val="000000"/>
                <w:sz w:val="24"/>
                <w:szCs w:val="24"/>
              </w:rPr>
            </w:pPr>
            <w:r>
              <w:rPr>
                <w:rFonts w:ascii="Times New Roman" w:hAnsi="Times New Roman" w:cs="Times New Roman"/>
                <w:b/>
                <w:color w:val="000000"/>
                <w:sz w:val="24"/>
                <w:szCs w:val="24"/>
              </w:rPr>
              <w:t>Kita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6.1 a)</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Celiuliozės gamyba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6.1 b)</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Popieriaus ir kartono gamyba</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Pirminis pluošto arba tekstilės apdorojimas arba dažymas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Kailių ir odų rauginimas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6.4 a)</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Skerdyklos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6.4 b)</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Maisto produktų apdorojimas ir perdirbimas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6.4 c)</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Pieno apdorojimas ir perdirbimas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3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Gyvulių skerdenų šalinimas arba perdirbimas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6.6 a)</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Intensyvus paukščių auginimas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6.6 b)</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Intensyvus mėsinių kiaulių auginimas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6.6 c)</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Intensyvus paršavedžių auginimas</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Paviršiaus apdorojimas organiniais tirpikliais</w:t>
            </w: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Anglies arba elektrografito gamyba</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rPr>
          <w:trHeight w:val="524"/>
        </w:trPr>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798"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CO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srautų saugojimas (Europos Parlamento ir Tarybos direktyva 2009/31/EB)</w:t>
            </w:r>
          </w:p>
        </w:tc>
        <w:tc>
          <w:tcPr>
            <w:tcW w:w="1453"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r>
      <w:tr w:rsidR="007047BF" w:rsidTr="007047BF">
        <w:tc>
          <w:tcPr>
            <w:tcW w:w="830" w:type="dxa"/>
            <w:tcBorders>
              <w:top w:val="single" w:sz="4" w:space="0" w:color="auto"/>
              <w:left w:val="single" w:sz="4" w:space="0" w:color="auto"/>
              <w:bottom w:val="single" w:sz="4" w:space="0" w:color="auto"/>
              <w:right w:val="single" w:sz="4" w:space="0" w:color="auto"/>
            </w:tcBorders>
            <w:hideMark/>
          </w:tcPr>
          <w:p w:rsidR="007047BF" w:rsidRDefault="007047BF">
            <w:pPr>
              <w:rPr>
                <w:rFonts w:ascii="Times New Roman" w:hAnsi="Times New Roman" w:cs="Times New Roman"/>
                <w:color w:val="000000"/>
                <w:sz w:val="24"/>
                <w:szCs w:val="24"/>
              </w:rPr>
            </w:pPr>
            <w:r>
              <w:rPr>
                <w:rFonts w:ascii="Times New Roman" w:hAnsi="Times New Roman" w:cs="Times New Roman"/>
                <w:color w:val="000000"/>
                <w:sz w:val="24"/>
                <w:szCs w:val="24"/>
              </w:rPr>
              <w:t>Iš viso :</w:t>
            </w:r>
          </w:p>
        </w:tc>
        <w:tc>
          <w:tcPr>
            <w:tcW w:w="1798"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53"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1405"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1616" w:type="dxa"/>
            <w:tcBorders>
              <w:top w:val="single" w:sz="4" w:space="0" w:color="auto"/>
              <w:left w:val="single" w:sz="4" w:space="0" w:color="auto"/>
              <w:bottom w:val="single" w:sz="4" w:space="0" w:color="auto"/>
              <w:right w:val="single" w:sz="4" w:space="0" w:color="auto"/>
            </w:tcBorders>
          </w:tcPr>
          <w:p w:rsidR="007047BF" w:rsidRDefault="007047B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336" w:type="dxa"/>
            <w:tcBorders>
              <w:top w:val="single" w:sz="4" w:space="0" w:color="auto"/>
              <w:left w:val="single" w:sz="4" w:space="0" w:color="auto"/>
              <w:bottom w:val="single" w:sz="4" w:space="0" w:color="auto"/>
              <w:right w:val="single" w:sz="4" w:space="0" w:color="auto"/>
            </w:tcBorders>
            <w:hideMark/>
          </w:tcPr>
          <w:p w:rsidR="007047BF" w:rsidRDefault="007047B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rsidR="007047BF" w:rsidRDefault="007047BF" w:rsidP="007047BF">
      <w:pPr>
        <w:jc w:val="center"/>
        <w:rPr>
          <w:rFonts w:ascii="Times New Roman" w:hAnsi="Times New Roman" w:cs="Times New Roman"/>
          <w:color w:val="000000"/>
          <w:sz w:val="24"/>
          <w:szCs w:val="24"/>
        </w:rPr>
      </w:pPr>
    </w:p>
    <w:p w:rsidR="007047BF" w:rsidRDefault="007047BF" w:rsidP="007047BF">
      <w:pPr>
        <w:jc w:val="center"/>
        <w:rPr>
          <w:rFonts w:ascii="Times New Roman" w:hAnsi="Times New Roman" w:cs="Times New Roman"/>
          <w:color w:val="000000"/>
          <w:sz w:val="24"/>
          <w:szCs w:val="24"/>
        </w:rPr>
      </w:pPr>
    </w:p>
    <w:sectPr w:rsidR="007047BF">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3B4" w:rsidRDefault="00B033B4" w:rsidP="00D84A5A">
      <w:r>
        <w:separator/>
      </w:r>
    </w:p>
  </w:endnote>
  <w:endnote w:type="continuationSeparator" w:id="0">
    <w:p w:rsidR="00B033B4" w:rsidRDefault="00B033B4" w:rsidP="00D8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662980"/>
      <w:docPartObj>
        <w:docPartGallery w:val="Page Numbers (Bottom of Page)"/>
        <w:docPartUnique/>
      </w:docPartObj>
    </w:sdtPr>
    <w:sdtEndPr/>
    <w:sdtContent>
      <w:p w:rsidR="005C29CD" w:rsidRDefault="005C29CD">
        <w:pPr>
          <w:pStyle w:val="Porat"/>
          <w:jc w:val="right"/>
        </w:pPr>
        <w:r>
          <w:fldChar w:fldCharType="begin"/>
        </w:r>
        <w:r>
          <w:instrText>PAGE   \* MERGEFORMAT</w:instrText>
        </w:r>
        <w:r>
          <w:fldChar w:fldCharType="separate"/>
        </w:r>
        <w:r w:rsidR="00665C57">
          <w:rPr>
            <w:noProof/>
          </w:rPr>
          <w:t>2</w:t>
        </w:r>
        <w:r>
          <w:fldChar w:fldCharType="end"/>
        </w:r>
      </w:p>
    </w:sdtContent>
  </w:sdt>
  <w:p w:rsidR="005C29CD" w:rsidRPr="004A0BCD" w:rsidRDefault="005C29CD">
    <w:pPr>
      <w:pStyle w:val="Pora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3B4" w:rsidRDefault="00B033B4" w:rsidP="00D84A5A">
      <w:r>
        <w:separator/>
      </w:r>
    </w:p>
  </w:footnote>
  <w:footnote w:type="continuationSeparator" w:id="0">
    <w:p w:rsidR="00B033B4" w:rsidRDefault="00B033B4" w:rsidP="00D84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D2"/>
    <w:rsid w:val="0002041A"/>
    <w:rsid w:val="00030C7C"/>
    <w:rsid w:val="00036639"/>
    <w:rsid w:val="000454D2"/>
    <w:rsid w:val="00045A18"/>
    <w:rsid w:val="00045A1F"/>
    <w:rsid w:val="00046501"/>
    <w:rsid w:val="00060AC3"/>
    <w:rsid w:val="00067C62"/>
    <w:rsid w:val="00080160"/>
    <w:rsid w:val="0008029A"/>
    <w:rsid w:val="000B474E"/>
    <w:rsid w:val="000B73FC"/>
    <w:rsid w:val="000C1539"/>
    <w:rsid w:val="000C47C5"/>
    <w:rsid w:val="000E1AE6"/>
    <w:rsid w:val="001152DD"/>
    <w:rsid w:val="001248EC"/>
    <w:rsid w:val="0013470A"/>
    <w:rsid w:val="00156431"/>
    <w:rsid w:val="00161CCC"/>
    <w:rsid w:val="00171EA5"/>
    <w:rsid w:val="00187AD5"/>
    <w:rsid w:val="001A7184"/>
    <w:rsid w:val="001B57C7"/>
    <w:rsid w:val="001C03B4"/>
    <w:rsid w:val="001F03A6"/>
    <w:rsid w:val="00207744"/>
    <w:rsid w:val="00213654"/>
    <w:rsid w:val="00230B59"/>
    <w:rsid w:val="002321D6"/>
    <w:rsid w:val="002416EC"/>
    <w:rsid w:val="0025712D"/>
    <w:rsid w:val="00293F79"/>
    <w:rsid w:val="0029596B"/>
    <w:rsid w:val="002B1BE1"/>
    <w:rsid w:val="002B709B"/>
    <w:rsid w:val="002D15A1"/>
    <w:rsid w:val="002D5307"/>
    <w:rsid w:val="002E1278"/>
    <w:rsid w:val="00321140"/>
    <w:rsid w:val="0034580D"/>
    <w:rsid w:val="003523E8"/>
    <w:rsid w:val="00352E67"/>
    <w:rsid w:val="00356767"/>
    <w:rsid w:val="003678F3"/>
    <w:rsid w:val="003866D7"/>
    <w:rsid w:val="003C61EF"/>
    <w:rsid w:val="00420C02"/>
    <w:rsid w:val="0043441C"/>
    <w:rsid w:val="00450040"/>
    <w:rsid w:val="00455C48"/>
    <w:rsid w:val="00474E43"/>
    <w:rsid w:val="0049617E"/>
    <w:rsid w:val="00497885"/>
    <w:rsid w:val="004A0693"/>
    <w:rsid w:val="004A0BCD"/>
    <w:rsid w:val="004B2A8A"/>
    <w:rsid w:val="0050475E"/>
    <w:rsid w:val="00520E4E"/>
    <w:rsid w:val="005414C1"/>
    <w:rsid w:val="00556909"/>
    <w:rsid w:val="00562A9C"/>
    <w:rsid w:val="005A62CA"/>
    <w:rsid w:val="005C133B"/>
    <w:rsid w:val="005C29CD"/>
    <w:rsid w:val="005C627A"/>
    <w:rsid w:val="005F57DA"/>
    <w:rsid w:val="00622E0C"/>
    <w:rsid w:val="00624A7F"/>
    <w:rsid w:val="006343C9"/>
    <w:rsid w:val="00637A4D"/>
    <w:rsid w:val="00646735"/>
    <w:rsid w:val="00656A0C"/>
    <w:rsid w:val="00662195"/>
    <w:rsid w:val="00665C57"/>
    <w:rsid w:val="00665D9D"/>
    <w:rsid w:val="00681C5D"/>
    <w:rsid w:val="00694A75"/>
    <w:rsid w:val="006E33E4"/>
    <w:rsid w:val="007047BF"/>
    <w:rsid w:val="00705302"/>
    <w:rsid w:val="00737BAC"/>
    <w:rsid w:val="00756ED9"/>
    <w:rsid w:val="00792F19"/>
    <w:rsid w:val="007B6B4F"/>
    <w:rsid w:val="007C4E06"/>
    <w:rsid w:val="007D56EC"/>
    <w:rsid w:val="0084146E"/>
    <w:rsid w:val="00864AEB"/>
    <w:rsid w:val="0089028F"/>
    <w:rsid w:val="008B258F"/>
    <w:rsid w:val="008C26B7"/>
    <w:rsid w:val="008C5BBC"/>
    <w:rsid w:val="008D3855"/>
    <w:rsid w:val="008D4617"/>
    <w:rsid w:val="008D7444"/>
    <w:rsid w:val="00923714"/>
    <w:rsid w:val="00944B91"/>
    <w:rsid w:val="00946D19"/>
    <w:rsid w:val="0096093C"/>
    <w:rsid w:val="0096622A"/>
    <w:rsid w:val="009A22F9"/>
    <w:rsid w:val="009A2AB2"/>
    <w:rsid w:val="009C05A0"/>
    <w:rsid w:val="009C0A92"/>
    <w:rsid w:val="009C2535"/>
    <w:rsid w:val="009C7429"/>
    <w:rsid w:val="009F24F2"/>
    <w:rsid w:val="00A01F02"/>
    <w:rsid w:val="00A23473"/>
    <w:rsid w:val="00A235EC"/>
    <w:rsid w:val="00A24766"/>
    <w:rsid w:val="00A24A4D"/>
    <w:rsid w:val="00A52651"/>
    <w:rsid w:val="00A57E5C"/>
    <w:rsid w:val="00A66D8D"/>
    <w:rsid w:val="00A756D7"/>
    <w:rsid w:val="00A857A4"/>
    <w:rsid w:val="00AC35B6"/>
    <w:rsid w:val="00AC51A9"/>
    <w:rsid w:val="00AC77BC"/>
    <w:rsid w:val="00AC79F7"/>
    <w:rsid w:val="00B033B4"/>
    <w:rsid w:val="00B03D97"/>
    <w:rsid w:val="00B16ED1"/>
    <w:rsid w:val="00B46D94"/>
    <w:rsid w:val="00B47799"/>
    <w:rsid w:val="00B57204"/>
    <w:rsid w:val="00B60516"/>
    <w:rsid w:val="00B66339"/>
    <w:rsid w:val="00B775F6"/>
    <w:rsid w:val="00B94F38"/>
    <w:rsid w:val="00BA7F7F"/>
    <w:rsid w:val="00BB65FC"/>
    <w:rsid w:val="00BF1D34"/>
    <w:rsid w:val="00C07CB9"/>
    <w:rsid w:val="00C17413"/>
    <w:rsid w:val="00C25613"/>
    <w:rsid w:val="00C3576D"/>
    <w:rsid w:val="00C717BF"/>
    <w:rsid w:val="00C75F6A"/>
    <w:rsid w:val="00C81EFE"/>
    <w:rsid w:val="00C82859"/>
    <w:rsid w:val="00C8736B"/>
    <w:rsid w:val="00CA640A"/>
    <w:rsid w:val="00CA6D76"/>
    <w:rsid w:val="00CB6AB8"/>
    <w:rsid w:val="00CB7562"/>
    <w:rsid w:val="00D06B21"/>
    <w:rsid w:val="00D20AE6"/>
    <w:rsid w:val="00D232DA"/>
    <w:rsid w:val="00D33A7E"/>
    <w:rsid w:val="00D3540D"/>
    <w:rsid w:val="00D44A93"/>
    <w:rsid w:val="00D519D0"/>
    <w:rsid w:val="00D710A5"/>
    <w:rsid w:val="00D84A5A"/>
    <w:rsid w:val="00D97E14"/>
    <w:rsid w:val="00DD6DBC"/>
    <w:rsid w:val="00DF04B8"/>
    <w:rsid w:val="00DF7CF2"/>
    <w:rsid w:val="00E26ABA"/>
    <w:rsid w:val="00E44315"/>
    <w:rsid w:val="00E44902"/>
    <w:rsid w:val="00E47B13"/>
    <w:rsid w:val="00E52A83"/>
    <w:rsid w:val="00E56A1E"/>
    <w:rsid w:val="00E807DD"/>
    <w:rsid w:val="00E9424B"/>
    <w:rsid w:val="00EB51DF"/>
    <w:rsid w:val="00EC7073"/>
    <w:rsid w:val="00ED287F"/>
    <w:rsid w:val="00EF181E"/>
    <w:rsid w:val="00F155BD"/>
    <w:rsid w:val="00F4148E"/>
    <w:rsid w:val="00F617B5"/>
    <w:rsid w:val="00F712ED"/>
    <w:rsid w:val="00F87472"/>
    <w:rsid w:val="00F87743"/>
    <w:rsid w:val="00FA74D9"/>
    <w:rsid w:val="00FB3F1F"/>
    <w:rsid w:val="00FC3611"/>
    <w:rsid w:val="00FF0802"/>
    <w:rsid w:val="00FF24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D5C725-9DE0-4B4F-AE49-D285B391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56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C25613"/>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agrindinistekstas1">
    <w:name w:val="Pagrindinis tekstas1"/>
    <w:rsid w:val="0050475E"/>
    <w:pPr>
      <w:suppressAutoHyphens/>
      <w:autoSpaceDE w:val="0"/>
      <w:ind w:firstLine="312"/>
      <w:jc w:val="both"/>
    </w:pPr>
    <w:rPr>
      <w:rFonts w:ascii="TimesLT" w:eastAsia="Arial" w:hAnsi="TimesLT" w:cs="Times New Roman"/>
      <w:sz w:val="20"/>
      <w:szCs w:val="20"/>
      <w:lang w:val="en-US" w:eastAsia="ar-SA"/>
    </w:rPr>
  </w:style>
  <w:style w:type="paragraph" w:customStyle="1" w:styleId="CM4">
    <w:name w:val="CM4"/>
    <w:basedOn w:val="prastasis"/>
    <w:next w:val="prastasis"/>
    <w:rsid w:val="002B1BE1"/>
    <w:pPr>
      <w:autoSpaceDE w:val="0"/>
      <w:autoSpaceDN w:val="0"/>
      <w:adjustRightInd w:val="0"/>
    </w:pPr>
    <w:rPr>
      <w:rFonts w:ascii="EUAlbertina" w:eastAsia="Times New Roman" w:hAnsi="EUAlbertina" w:cs="Times New Roman"/>
      <w:sz w:val="24"/>
      <w:szCs w:val="24"/>
      <w:lang w:eastAsia="lt-LT"/>
    </w:rPr>
  </w:style>
  <w:style w:type="character" w:styleId="Hipersaitas">
    <w:name w:val="Hyperlink"/>
    <w:basedOn w:val="Numatytasispastraiposriftas"/>
    <w:rsid w:val="00E9424B"/>
    <w:rPr>
      <w:color w:val="0000FF"/>
      <w:u w:val="single"/>
    </w:rPr>
  </w:style>
  <w:style w:type="paragraph" w:styleId="Puslapioinaostekstas">
    <w:name w:val="footnote text"/>
    <w:basedOn w:val="prastasis"/>
    <w:link w:val="PuslapioinaostekstasDiagrama"/>
    <w:uiPriority w:val="99"/>
    <w:semiHidden/>
    <w:unhideWhenUsed/>
    <w:rsid w:val="00D84A5A"/>
    <w:rPr>
      <w:sz w:val="20"/>
      <w:szCs w:val="20"/>
    </w:rPr>
  </w:style>
  <w:style w:type="character" w:customStyle="1" w:styleId="PuslapioinaostekstasDiagrama">
    <w:name w:val="Puslapio išnašos tekstas Diagrama"/>
    <w:basedOn w:val="Numatytasispastraiposriftas"/>
    <w:link w:val="Puslapioinaostekstas"/>
    <w:uiPriority w:val="99"/>
    <w:semiHidden/>
    <w:rsid w:val="00D84A5A"/>
    <w:rPr>
      <w:sz w:val="20"/>
      <w:szCs w:val="20"/>
    </w:rPr>
  </w:style>
  <w:style w:type="character" w:styleId="Puslapioinaosnuoroda">
    <w:name w:val="footnote reference"/>
    <w:basedOn w:val="Numatytasispastraiposriftas"/>
    <w:uiPriority w:val="99"/>
    <w:semiHidden/>
    <w:unhideWhenUsed/>
    <w:rsid w:val="00D84A5A"/>
    <w:rPr>
      <w:vertAlign w:val="superscript"/>
    </w:rPr>
  </w:style>
  <w:style w:type="paragraph" w:styleId="Antrats">
    <w:name w:val="header"/>
    <w:basedOn w:val="prastasis"/>
    <w:link w:val="AntratsDiagrama"/>
    <w:uiPriority w:val="99"/>
    <w:unhideWhenUsed/>
    <w:rsid w:val="004A0BCD"/>
    <w:pPr>
      <w:tabs>
        <w:tab w:val="center" w:pos="4819"/>
        <w:tab w:val="right" w:pos="9638"/>
      </w:tabs>
    </w:pPr>
  </w:style>
  <w:style w:type="character" w:customStyle="1" w:styleId="AntratsDiagrama">
    <w:name w:val="Antraštės Diagrama"/>
    <w:basedOn w:val="Numatytasispastraiposriftas"/>
    <w:link w:val="Antrats"/>
    <w:uiPriority w:val="99"/>
    <w:rsid w:val="004A0BCD"/>
  </w:style>
  <w:style w:type="paragraph" w:styleId="Porat">
    <w:name w:val="footer"/>
    <w:basedOn w:val="prastasis"/>
    <w:link w:val="PoratDiagrama"/>
    <w:uiPriority w:val="99"/>
    <w:unhideWhenUsed/>
    <w:rsid w:val="004A0BCD"/>
    <w:pPr>
      <w:tabs>
        <w:tab w:val="center" w:pos="4819"/>
        <w:tab w:val="right" w:pos="9638"/>
      </w:tabs>
    </w:pPr>
  </w:style>
  <w:style w:type="character" w:customStyle="1" w:styleId="PoratDiagrama">
    <w:name w:val="Poraštė Diagrama"/>
    <w:basedOn w:val="Numatytasispastraiposriftas"/>
    <w:link w:val="Porat"/>
    <w:uiPriority w:val="99"/>
    <w:rsid w:val="004A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6315">
      <w:bodyDiv w:val="1"/>
      <w:marLeft w:val="0"/>
      <w:marRight w:val="0"/>
      <w:marTop w:val="0"/>
      <w:marBottom w:val="0"/>
      <w:divBdr>
        <w:top w:val="none" w:sz="0" w:space="0" w:color="auto"/>
        <w:left w:val="none" w:sz="0" w:space="0" w:color="auto"/>
        <w:bottom w:val="none" w:sz="0" w:space="0" w:color="auto"/>
        <w:right w:val="none" w:sz="0" w:space="0" w:color="auto"/>
      </w:divBdr>
    </w:div>
    <w:div w:id="144401228">
      <w:bodyDiv w:val="1"/>
      <w:marLeft w:val="0"/>
      <w:marRight w:val="0"/>
      <w:marTop w:val="0"/>
      <w:marBottom w:val="0"/>
      <w:divBdr>
        <w:top w:val="none" w:sz="0" w:space="0" w:color="auto"/>
        <w:left w:val="none" w:sz="0" w:space="0" w:color="auto"/>
        <w:bottom w:val="none" w:sz="0" w:space="0" w:color="auto"/>
        <w:right w:val="none" w:sz="0" w:space="0" w:color="auto"/>
      </w:divBdr>
    </w:div>
    <w:div w:id="178277580">
      <w:bodyDiv w:val="1"/>
      <w:marLeft w:val="0"/>
      <w:marRight w:val="0"/>
      <w:marTop w:val="0"/>
      <w:marBottom w:val="0"/>
      <w:divBdr>
        <w:top w:val="none" w:sz="0" w:space="0" w:color="auto"/>
        <w:left w:val="none" w:sz="0" w:space="0" w:color="auto"/>
        <w:bottom w:val="none" w:sz="0" w:space="0" w:color="auto"/>
        <w:right w:val="none" w:sz="0" w:space="0" w:color="auto"/>
      </w:divBdr>
    </w:div>
    <w:div w:id="215894296">
      <w:bodyDiv w:val="1"/>
      <w:marLeft w:val="0"/>
      <w:marRight w:val="0"/>
      <w:marTop w:val="0"/>
      <w:marBottom w:val="0"/>
      <w:divBdr>
        <w:top w:val="none" w:sz="0" w:space="0" w:color="auto"/>
        <w:left w:val="none" w:sz="0" w:space="0" w:color="auto"/>
        <w:bottom w:val="none" w:sz="0" w:space="0" w:color="auto"/>
        <w:right w:val="none" w:sz="0" w:space="0" w:color="auto"/>
      </w:divBdr>
    </w:div>
    <w:div w:id="263616458">
      <w:bodyDiv w:val="1"/>
      <w:marLeft w:val="0"/>
      <w:marRight w:val="0"/>
      <w:marTop w:val="0"/>
      <w:marBottom w:val="0"/>
      <w:divBdr>
        <w:top w:val="none" w:sz="0" w:space="0" w:color="auto"/>
        <w:left w:val="none" w:sz="0" w:space="0" w:color="auto"/>
        <w:bottom w:val="none" w:sz="0" w:space="0" w:color="auto"/>
        <w:right w:val="none" w:sz="0" w:space="0" w:color="auto"/>
      </w:divBdr>
    </w:div>
    <w:div w:id="345056176">
      <w:bodyDiv w:val="1"/>
      <w:marLeft w:val="0"/>
      <w:marRight w:val="0"/>
      <w:marTop w:val="0"/>
      <w:marBottom w:val="0"/>
      <w:divBdr>
        <w:top w:val="none" w:sz="0" w:space="0" w:color="auto"/>
        <w:left w:val="none" w:sz="0" w:space="0" w:color="auto"/>
        <w:bottom w:val="none" w:sz="0" w:space="0" w:color="auto"/>
        <w:right w:val="none" w:sz="0" w:space="0" w:color="auto"/>
      </w:divBdr>
    </w:div>
    <w:div w:id="388578661">
      <w:bodyDiv w:val="1"/>
      <w:marLeft w:val="0"/>
      <w:marRight w:val="0"/>
      <w:marTop w:val="0"/>
      <w:marBottom w:val="0"/>
      <w:divBdr>
        <w:top w:val="none" w:sz="0" w:space="0" w:color="auto"/>
        <w:left w:val="none" w:sz="0" w:space="0" w:color="auto"/>
        <w:bottom w:val="none" w:sz="0" w:space="0" w:color="auto"/>
        <w:right w:val="none" w:sz="0" w:space="0" w:color="auto"/>
      </w:divBdr>
      <w:divsChild>
        <w:div w:id="1113597238">
          <w:marLeft w:val="0"/>
          <w:marRight w:val="0"/>
          <w:marTop w:val="0"/>
          <w:marBottom w:val="0"/>
          <w:divBdr>
            <w:top w:val="none" w:sz="0" w:space="0" w:color="auto"/>
            <w:left w:val="none" w:sz="0" w:space="0" w:color="auto"/>
            <w:bottom w:val="none" w:sz="0" w:space="0" w:color="auto"/>
            <w:right w:val="none" w:sz="0" w:space="0" w:color="auto"/>
          </w:divBdr>
        </w:div>
        <w:div w:id="301816573">
          <w:marLeft w:val="0"/>
          <w:marRight w:val="0"/>
          <w:marTop w:val="0"/>
          <w:marBottom w:val="0"/>
          <w:divBdr>
            <w:top w:val="none" w:sz="0" w:space="0" w:color="auto"/>
            <w:left w:val="none" w:sz="0" w:space="0" w:color="auto"/>
            <w:bottom w:val="none" w:sz="0" w:space="0" w:color="auto"/>
            <w:right w:val="none" w:sz="0" w:space="0" w:color="auto"/>
          </w:divBdr>
        </w:div>
        <w:div w:id="839582031">
          <w:marLeft w:val="0"/>
          <w:marRight w:val="0"/>
          <w:marTop w:val="0"/>
          <w:marBottom w:val="0"/>
          <w:divBdr>
            <w:top w:val="none" w:sz="0" w:space="0" w:color="auto"/>
            <w:left w:val="none" w:sz="0" w:space="0" w:color="auto"/>
            <w:bottom w:val="none" w:sz="0" w:space="0" w:color="auto"/>
            <w:right w:val="none" w:sz="0" w:space="0" w:color="auto"/>
          </w:divBdr>
        </w:div>
        <w:div w:id="1089086019">
          <w:marLeft w:val="0"/>
          <w:marRight w:val="0"/>
          <w:marTop w:val="0"/>
          <w:marBottom w:val="0"/>
          <w:divBdr>
            <w:top w:val="none" w:sz="0" w:space="0" w:color="auto"/>
            <w:left w:val="none" w:sz="0" w:space="0" w:color="auto"/>
            <w:bottom w:val="none" w:sz="0" w:space="0" w:color="auto"/>
            <w:right w:val="none" w:sz="0" w:space="0" w:color="auto"/>
          </w:divBdr>
        </w:div>
        <w:div w:id="1750882530">
          <w:marLeft w:val="0"/>
          <w:marRight w:val="0"/>
          <w:marTop w:val="0"/>
          <w:marBottom w:val="0"/>
          <w:divBdr>
            <w:top w:val="none" w:sz="0" w:space="0" w:color="auto"/>
            <w:left w:val="none" w:sz="0" w:space="0" w:color="auto"/>
            <w:bottom w:val="none" w:sz="0" w:space="0" w:color="auto"/>
            <w:right w:val="none" w:sz="0" w:space="0" w:color="auto"/>
          </w:divBdr>
        </w:div>
        <w:div w:id="45762327">
          <w:marLeft w:val="0"/>
          <w:marRight w:val="0"/>
          <w:marTop w:val="0"/>
          <w:marBottom w:val="0"/>
          <w:divBdr>
            <w:top w:val="none" w:sz="0" w:space="0" w:color="auto"/>
            <w:left w:val="none" w:sz="0" w:space="0" w:color="auto"/>
            <w:bottom w:val="none" w:sz="0" w:space="0" w:color="auto"/>
            <w:right w:val="none" w:sz="0" w:space="0" w:color="auto"/>
          </w:divBdr>
        </w:div>
        <w:div w:id="1260525313">
          <w:marLeft w:val="0"/>
          <w:marRight w:val="0"/>
          <w:marTop w:val="0"/>
          <w:marBottom w:val="0"/>
          <w:divBdr>
            <w:top w:val="none" w:sz="0" w:space="0" w:color="auto"/>
            <w:left w:val="none" w:sz="0" w:space="0" w:color="auto"/>
            <w:bottom w:val="none" w:sz="0" w:space="0" w:color="auto"/>
            <w:right w:val="none" w:sz="0" w:space="0" w:color="auto"/>
          </w:divBdr>
        </w:div>
      </w:divsChild>
    </w:div>
    <w:div w:id="403264305">
      <w:bodyDiv w:val="1"/>
      <w:marLeft w:val="0"/>
      <w:marRight w:val="0"/>
      <w:marTop w:val="0"/>
      <w:marBottom w:val="0"/>
      <w:divBdr>
        <w:top w:val="none" w:sz="0" w:space="0" w:color="auto"/>
        <w:left w:val="none" w:sz="0" w:space="0" w:color="auto"/>
        <w:bottom w:val="none" w:sz="0" w:space="0" w:color="auto"/>
        <w:right w:val="none" w:sz="0" w:space="0" w:color="auto"/>
      </w:divBdr>
    </w:div>
    <w:div w:id="445582635">
      <w:bodyDiv w:val="1"/>
      <w:marLeft w:val="0"/>
      <w:marRight w:val="0"/>
      <w:marTop w:val="0"/>
      <w:marBottom w:val="0"/>
      <w:divBdr>
        <w:top w:val="none" w:sz="0" w:space="0" w:color="auto"/>
        <w:left w:val="none" w:sz="0" w:space="0" w:color="auto"/>
        <w:bottom w:val="none" w:sz="0" w:space="0" w:color="auto"/>
        <w:right w:val="none" w:sz="0" w:space="0" w:color="auto"/>
      </w:divBdr>
    </w:div>
    <w:div w:id="488791270">
      <w:bodyDiv w:val="1"/>
      <w:marLeft w:val="0"/>
      <w:marRight w:val="0"/>
      <w:marTop w:val="0"/>
      <w:marBottom w:val="0"/>
      <w:divBdr>
        <w:top w:val="none" w:sz="0" w:space="0" w:color="auto"/>
        <w:left w:val="none" w:sz="0" w:space="0" w:color="auto"/>
        <w:bottom w:val="none" w:sz="0" w:space="0" w:color="auto"/>
        <w:right w:val="none" w:sz="0" w:space="0" w:color="auto"/>
      </w:divBdr>
    </w:div>
    <w:div w:id="584874678">
      <w:bodyDiv w:val="1"/>
      <w:marLeft w:val="0"/>
      <w:marRight w:val="0"/>
      <w:marTop w:val="0"/>
      <w:marBottom w:val="0"/>
      <w:divBdr>
        <w:top w:val="none" w:sz="0" w:space="0" w:color="auto"/>
        <w:left w:val="none" w:sz="0" w:space="0" w:color="auto"/>
        <w:bottom w:val="none" w:sz="0" w:space="0" w:color="auto"/>
        <w:right w:val="none" w:sz="0" w:space="0" w:color="auto"/>
      </w:divBdr>
    </w:div>
    <w:div w:id="588272966">
      <w:bodyDiv w:val="1"/>
      <w:marLeft w:val="0"/>
      <w:marRight w:val="0"/>
      <w:marTop w:val="0"/>
      <w:marBottom w:val="0"/>
      <w:divBdr>
        <w:top w:val="none" w:sz="0" w:space="0" w:color="auto"/>
        <w:left w:val="none" w:sz="0" w:space="0" w:color="auto"/>
        <w:bottom w:val="none" w:sz="0" w:space="0" w:color="auto"/>
        <w:right w:val="none" w:sz="0" w:space="0" w:color="auto"/>
      </w:divBdr>
    </w:div>
    <w:div w:id="606623758">
      <w:bodyDiv w:val="1"/>
      <w:marLeft w:val="0"/>
      <w:marRight w:val="0"/>
      <w:marTop w:val="0"/>
      <w:marBottom w:val="0"/>
      <w:divBdr>
        <w:top w:val="none" w:sz="0" w:space="0" w:color="auto"/>
        <w:left w:val="none" w:sz="0" w:space="0" w:color="auto"/>
        <w:bottom w:val="none" w:sz="0" w:space="0" w:color="auto"/>
        <w:right w:val="none" w:sz="0" w:space="0" w:color="auto"/>
      </w:divBdr>
    </w:div>
    <w:div w:id="633753565">
      <w:bodyDiv w:val="1"/>
      <w:marLeft w:val="0"/>
      <w:marRight w:val="0"/>
      <w:marTop w:val="0"/>
      <w:marBottom w:val="0"/>
      <w:divBdr>
        <w:top w:val="none" w:sz="0" w:space="0" w:color="auto"/>
        <w:left w:val="none" w:sz="0" w:space="0" w:color="auto"/>
        <w:bottom w:val="none" w:sz="0" w:space="0" w:color="auto"/>
        <w:right w:val="none" w:sz="0" w:space="0" w:color="auto"/>
      </w:divBdr>
    </w:div>
    <w:div w:id="695039014">
      <w:bodyDiv w:val="1"/>
      <w:marLeft w:val="0"/>
      <w:marRight w:val="0"/>
      <w:marTop w:val="0"/>
      <w:marBottom w:val="0"/>
      <w:divBdr>
        <w:top w:val="none" w:sz="0" w:space="0" w:color="auto"/>
        <w:left w:val="none" w:sz="0" w:space="0" w:color="auto"/>
        <w:bottom w:val="none" w:sz="0" w:space="0" w:color="auto"/>
        <w:right w:val="none" w:sz="0" w:space="0" w:color="auto"/>
      </w:divBdr>
    </w:div>
    <w:div w:id="729885163">
      <w:bodyDiv w:val="1"/>
      <w:marLeft w:val="0"/>
      <w:marRight w:val="0"/>
      <w:marTop w:val="0"/>
      <w:marBottom w:val="0"/>
      <w:divBdr>
        <w:top w:val="none" w:sz="0" w:space="0" w:color="auto"/>
        <w:left w:val="none" w:sz="0" w:space="0" w:color="auto"/>
        <w:bottom w:val="none" w:sz="0" w:space="0" w:color="auto"/>
        <w:right w:val="none" w:sz="0" w:space="0" w:color="auto"/>
      </w:divBdr>
    </w:div>
    <w:div w:id="765229367">
      <w:bodyDiv w:val="1"/>
      <w:marLeft w:val="0"/>
      <w:marRight w:val="0"/>
      <w:marTop w:val="0"/>
      <w:marBottom w:val="0"/>
      <w:divBdr>
        <w:top w:val="none" w:sz="0" w:space="0" w:color="auto"/>
        <w:left w:val="none" w:sz="0" w:space="0" w:color="auto"/>
        <w:bottom w:val="none" w:sz="0" w:space="0" w:color="auto"/>
        <w:right w:val="none" w:sz="0" w:space="0" w:color="auto"/>
      </w:divBdr>
    </w:div>
    <w:div w:id="814757127">
      <w:bodyDiv w:val="1"/>
      <w:marLeft w:val="0"/>
      <w:marRight w:val="0"/>
      <w:marTop w:val="0"/>
      <w:marBottom w:val="0"/>
      <w:divBdr>
        <w:top w:val="none" w:sz="0" w:space="0" w:color="auto"/>
        <w:left w:val="none" w:sz="0" w:space="0" w:color="auto"/>
        <w:bottom w:val="none" w:sz="0" w:space="0" w:color="auto"/>
        <w:right w:val="none" w:sz="0" w:space="0" w:color="auto"/>
      </w:divBdr>
    </w:div>
    <w:div w:id="845097589">
      <w:bodyDiv w:val="1"/>
      <w:marLeft w:val="0"/>
      <w:marRight w:val="0"/>
      <w:marTop w:val="0"/>
      <w:marBottom w:val="0"/>
      <w:divBdr>
        <w:top w:val="none" w:sz="0" w:space="0" w:color="auto"/>
        <w:left w:val="none" w:sz="0" w:space="0" w:color="auto"/>
        <w:bottom w:val="none" w:sz="0" w:space="0" w:color="auto"/>
        <w:right w:val="none" w:sz="0" w:space="0" w:color="auto"/>
      </w:divBdr>
    </w:div>
    <w:div w:id="1111700835">
      <w:bodyDiv w:val="1"/>
      <w:marLeft w:val="0"/>
      <w:marRight w:val="0"/>
      <w:marTop w:val="0"/>
      <w:marBottom w:val="0"/>
      <w:divBdr>
        <w:top w:val="none" w:sz="0" w:space="0" w:color="auto"/>
        <w:left w:val="none" w:sz="0" w:space="0" w:color="auto"/>
        <w:bottom w:val="none" w:sz="0" w:space="0" w:color="auto"/>
        <w:right w:val="none" w:sz="0" w:space="0" w:color="auto"/>
      </w:divBdr>
    </w:div>
    <w:div w:id="1143355053">
      <w:bodyDiv w:val="1"/>
      <w:marLeft w:val="0"/>
      <w:marRight w:val="0"/>
      <w:marTop w:val="0"/>
      <w:marBottom w:val="0"/>
      <w:divBdr>
        <w:top w:val="none" w:sz="0" w:space="0" w:color="auto"/>
        <w:left w:val="none" w:sz="0" w:space="0" w:color="auto"/>
        <w:bottom w:val="none" w:sz="0" w:space="0" w:color="auto"/>
        <w:right w:val="none" w:sz="0" w:space="0" w:color="auto"/>
      </w:divBdr>
    </w:div>
    <w:div w:id="1202742954">
      <w:bodyDiv w:val="1"/>
      <w:marLeft w:val="0"/>
      <w:marRight w:val="0"/>
      <w:marTop w:val="0"/>
      <w:marBottom w:val="0"/>
      <w:divBdr>
        <w:top w:val="none" w:sz="0" w:space="0" w:color="auto"/>
        <w:left w:val="none" w:sz="0" w:space="0" w:color="auto"/>
        <w:bottom w:val="none" w:sz="0" w:space="0" w:color="auto"/>
        <w:right w:val="none" w:sz="0" w:space="0" w:color="auto"/>
      </w:divBdr>
    </w:div>
    <w:div w:id="1288120441">
      <w:bodyDiv w:val="1"/>
      <w:marLeft w:val="0"/>
      <w:marRight w:val="0"/>
      <w:marTop w:val="0"/>
      <w:marBottom w:val="0"/>
      <w:divBdr>
        <w:top w:val="none" w:sz="0" w:space="0" w:color="auto"/>
        <w:left w:val="none" w:sz="0" w:space="0" w:color="auto"/>
        <w:bottom w:val="none" w:sz="0" w:space="0" w:color="auto"/>
        <w:right w:val="none" w:sz="0" w:space="0" w:color="auto"/>
      </w:divBdr>
    </w:div>
    <w:div w:id="1295216914">
      <w:bodyDiv w:val="1"/>
      <w:marLeft w:val="0"/>
      <w:marRight w:val="0"/>
      <w:marTop w:val="0"/>
      <w:marBottom w:val="0"/>
      <w:divBdr>
        <w:top w:val="none" w:sz="0" w:space="0" w:color="auto"/>
        <w:left w:val="none" w:sz="0" w:space="0" w:color="auto"/>
        <w:bottom w:val="none" w:sz="0" w:space="0" w:color="auto"/>
        <w:right w:val="none" w:sz="0" w:space="0" w:color="auto"/>
      </w:divBdr>
    </w:div>
    <w:div w:id="1357460498">
      <w:bodyDiv w:val="1"/>
      <w:marLeft w:val="0"/>
      <w:marRight w:val="0"/>
      <w:marTop w:val="0"/>
      <w:marBottom w:val="0"/>
      <w:divBdr>
        <w:top w:val="none" w:sz="0" w:space="0" w:color="auto"/>
        <w:left w:val="none" w:sz="0" w:space="0" w:color="auto"/>
        <w:bottom w:val="none" w:sz="0" w:space="0" w:color="auto"/>
        <w:right w:val="none" w:sz="0" w:space="0" w:color="auto"/>
      </w:divBdr>
    </w:div>
    <w:div w:id="1396775610">
      <w:bodyDiv w:val="1"/>
      <w:marLeft w:val="0"/>
      <w:marRight w:val="0"/>
      <w:marTop w:val="0"/>
      <w:marBottom w:val="0"/>
      <w:divBdr>
        <w:top w:val="none" w:sz="0" w:space="0" w:color="auto"/>
        <w:left w:val="none" w:sz="0" w:space="0" w:color="auto"/>
        <w:bottom w:val="none" w:sz="0" w:space="0" w:color="auto"/>
        <w:right w:val="none" w:sz="0" w:space="0" w:color="auto"/>
      </w:divBdr>
    </w:div>
    <w:div w:id="1496458948">
      <w:bodyDiv w:val="1"/>
      <w:marLeft w:val="0"/>
      <w:marRight w:val="0"/>
      <w:marTop w:val="0"/>
      <w:marBottom w:val="0"/>
      <w:divBdr>
        <w:top w:val="none" w:sz="0" w:space="0" w:color="auto"/>
        <w:left w:val="none" w:sz="0" w:space="0" w:color="auto"/>
        <w:bottom w:val="none" w:sz="0" w:space="0" w:color="auto"/>
        <w:right w:val="none" w:sz="0" w:space="0" w:color="auto"/>
      </w:divBdr>
    </w:div>
    <w:div w:id="1516991430">
      <w:bodyDiv w:val="1"/>
      <w:marLeft w:val="0"/>
      <w:marRight w:val="0"/>
      <w:marTop w:val="0"/>
      <w:marBottom w:val="0"/>
      <w:divBdr>
        <w:top w:val="none" w:sz="0" w:space="0" w:color="auto"/>
        <w:left w:val="none" w:sz="0" w:space="0" w:color="auto"/>
        <w:bottom w:val="none" w:sz="0" w:space="0" w:color="auto"/>
        <w:right w:val="none" w:sz="0" w:space="0" w:color="auto"/>
      </w:divBdr>
    </w:div>
    <w:div w:id="1684043599">
      <w:bodyDiv w:val="1"/>
      <w:marLeft w:val="0"/>
      <w:marRight w:val="0"/>
      <w:marTop w:val="0"/>
      <w:marBottom w:val="0"/>
      <w:divBdr>
        <w:top w:val="none" w:sz="0" w:space="0" w:color="auto"/>
        <w:left w:val="none" w:sz="0" w:space="0" w:color="auto"/>
        <w:bottom w:val="none" w:sz="0" w:space="0" w:color="auto"/>
        <w:right w:val="none" w:sz="0" w:space="0" w:color="auto"/>
      </w:divBdr>
    </w:div>
    <w:div w:id="1699164504">
      <w:bodyDiv w:val="1"/>
      <w:marLeft w:val="0"/>
      <w:marRight w:val="0"/>
      <w:marTop w:val="0"/>
      <w:marBottom w:val="0"/>
      <w:divBdr>
        <w:top w:val="none" w:sz="0" w:space="0" w:color="auto"/>
        <w:left w:val="none" w:sz="0" w:space="0" w:color="auto"/>
        <w:bottom w:val="none" w:sz="0" w:space="0" w:color="auto"/>
        <w:right w:val="none" w:sz="0" w:space="0" w:color="auto"/>
      </w:divBdr>
    </w:div>
    <w:div w:id="1719159148">
      <w:bodyDiv w:val="1"/>
      <w:marLeft w:val="0"/>
      <w:marRight w:val="0"/>
      <w:marTop w:val="0"/>
      <w:marBottom w:val="0"/>
      <w:divBdr>
        <w:top w:val="none" w:sz="0" w:space="0" w:color="auto"/>
        <w:left w:val="none" w:sz="0" w:space="0" w:color="auto"/>
        <w:bottom w:val="none" w:sz="0" w:space="0" w:color="auto"/>
        <w:right w:val="none" w:sz="0" w:space="0" w:color="auto"/>
      </w:divBdr>
    </w:div>
    <w:div w:id="1794708461">
      <w:bodyDiv w:val="1"/>
      <w:marLeft w:val="0"/>
      <w:marRight w:val="0"/>
      <w:marTop w:val="0"/>
      <w:marBottom w:val="0"/>
      <w:divBdr>
        <w:top w:val="none" w:sz="0" w:space="0" w:color="auto"/>
        <w:left w:val="none" w:sz="0" w:space="0" w:color="auto"/>
        <w:bottom w:val="none" w:sz="0" w:space="0" w:color="auto"/>
        <w:right w:val="none" w:sz="0" w:space="0" w:color="auto"/>
      </w:divBdr>
      <w:divsChild>
        <w:div w:id="662785264">
          <w:marLeft w:val="0"/>
          <w:marRight w:val="0"/>
          <w:marTop w:val="0"/>
          <w:marBottom w:val="0"/>
          <w:divBdr>
            <w:top w:val="none" w:sz="0" w:space="0" w:color="auto"/>
            <w:left w:val="none" w:sz="0" w:space="0" w:color="auto"/>
            <w:bottom w:val="none" w:sz="0" w:space="0" w:color="auto"/>
            <w:right w:val="none" w:sz="0" w:space="0" w:color="auto"/>
          </w:divBdr>
        </w:div>
        <w:div w:id="1089691448">
          <w:marLeft w:val="0"/>
          <w:marRight w:val="0"/>
          <w:marTop w:val="0"/>
          <w:marBottom w:val="0"/>
          <w:divBdr>
            <w:top w:val="none" w:sz="0" w:space="0" w:color="auto"/>
            <w:left w:val="none" w:sz="0" w:space="0" w:color="auto"/>
            <w:bottom w:val="none" w:sz="0" w:space="0" w:color="auto"/>
            <w:right w:val="none" w:sz="0" w:space="0" w:color="auto"/>
          </w:divBdr>
        </w:div>
        <w:div w:id="397630602">
          <w:marLeft w:val="0"/>
          <w:marRight w:val="0"/>
          <w:marTop w:val="0"/>
          <w:marBottom w:val="0"/>
          <w:divBdr>
            <w:top w:val="none" w:sz="0" w:space="0" w:color="auto"/>
            <w:left w:val="none" w:sz="0" w:space="0" w:color="auto"/>
            <w:bottom w:val="none" w:sz="0" w:space="0" w:color="auto"/>
            <w:right w:val="none" w:sz="0" w:space="0" w:color="auto"/>
          </w:divBdr>
        </w:div>
        <w:div w:id="1235779148">
          <w:marLeft w:val="0"/>
          <w:marRight w:val="0"/>
          <w:marTop w:val="0"/>
          <w:marBottom w:val="0"/>
          <w:divBdr>
            <w:top w:val="none" w:sz="0" w:space="0" w:color="auto"/>
            <w:left w:val="none" w:sz="0" w:space="0" w:color="auto"/>
            <w:bottom w:val="none" w:sz="0" w:space="0" w:color="auto"/>
            <w:right w:val="none" w:sz="0" w:space="0" w:color="auto"/>
          </w:divBdr>
        </w:div>
        <w:div w:id="1526554363">
          <w:marLeft w:val="0"/>
          <w:marRight w:val="0"/>
          <w:marTop w:val="0"/>
          <w:marBottom w:val="0"/>
          <w:divBdr>
            <w:top w:val="none" w:sz="0" w:space="0" w:color="auto"/>
            <w:left w:val="none" w:sz="0" w:space="0" w:color="auto"/>
            <w:bottom w:val="none" w:sz="0" w:space="0" w:color="auto"/>
            <w:right w:val="none" w:sz="0" w:space="0" w:color="auto"/>
          </w:divBdr>
        </w:div>
        <w:div w:id="1515414089">
          <w:marLeft w:val="0"/>
          <w:marRight w:val="0"/>
          <w:marTop w:val="0"/>
          <w:marBottom w:val="0"/>
          <w:divBdr>
            <w:top w:val="none" w:sz="0" w:space="0" w:color="auto"/>
            <w:left w:val="none" w:sz="0" w:space="0" w:color="auto"/>
            <w:bottom w:val="none" w:sz="0" w:space="0" w:color="auto"/>
            <w:right w:val="none" w:sz="0" w:space="0" w:color="auto"/>
          </w:divBdr>
        </w:div>
        <w:div w:id="817457699">
          <w:marLeft w:val="0"/>
          <w:marRight w:val="0"/>
          <w:marTop w:val="0"/>
          <w:marBottom w:val="0"/>
          <w:divBdr>
            <w:top w:val="none" w:sz="0" w:space="0" w:color="auto"/>
            <w:left w:val="none" w:sz="0" w:space="0" w:color="auto"/>
            <w:bottom w:val="none" w:sz="0" w:space="0" w:color="auto"/>
            <w:right w:val="none" w:sz="0" w:space="0" w:color="auto"/>
          </w:divBdr>
        </w:div>
        <w:div w:id="1904440846">
          <w:marLeft w:val="0"/>
          <w:marRight w:val="0"/>
          <w:marTop w:val="0"/>
          <w:marBottom w:val="0"/>
          <w:divBdr>
            <w:top w:val="none" w:sz="0" w:space="0" w:color="auto"/>
            <w:left w:val="none" w:sz="0" w:space="0" w:color="auto"/>
            <w:bottom w:val="none" w:sz="0" w:space="0" w:color="auto"/>
            <w:right w:val="none" w:sz="0" w:space="0" w:color="auto"/>
          </w:divBdr>
        </w:div>
        <w:div w:id="383875669">
          <w:marLeft w:val="0"/>
          <w:marRight w:val="0"/>
          <w:marTop w:val="0"/>
          <w:marBottom w:val="0"/>
          <w:divBdr>
            <w:top w:val="none" w:sz="0" w:space="0" w:color="auto"/>
            <w:left w:val="none" w:sz="0" w:space="0" w:color="auto"/>
            <w:bottom w:val="none" w:sz="0" w:space="0" w:color="auto"/>
            <w:right w:val="none" w:sz="0" w:space="0" w:color="auto"/>
          </w:divBdr>
        </w:div>
        <w:div w:id="790824552">
          <w:marLeft w:val="0"/>
          <w:marRight w:val="0"/>
          <w:marTop w:val="0"/>
          <w:marBottom w:val="0"/>
          <w:divBdr>
            <w:top w:val="none" w:sz="0" w:space="0" w:color="auto"/>
            <w:left w:val="none" w:sz="0" w:space="0" w:color="auto"/>
            <w:bottom w:val="none" w:sz="0" w:space="0" w:color="auto"/>
            <w:right w:val="none" w:sz="0" w:space="0" w:color="auto"/>
          </w:divBdr>
        </w:div>
        <w:div w:id="1322345857">
          <w:marLeft w:val="0"/>
          <w:marRight w:val="0"/>
          <w:marTop w:val="0"/>
          <w:marBottom w:val="0"/>
          <w:divBdr>
            <w:top w:val="none" w:sz="0" w:space="0" w:color="auto"/>
            <w:left w:val="none" w:sz="0" w:space="0" w:color="auto"/>
            <w:bottom w:val="none" w:sz="0" w:space="0" w:color="auto"/>
            <w:right w:val="none" w:sz="0" w:space="0" w:color="auto"/>
          </w:divBdr>
        </w:div>
        <w:div w:id="722871803">
          <w:marLeft w:val="0"/>
          <w:marRight w:val="0"/>
          <w:marTop w:val="0"/>
          <w:marBottom w:val="0"/>
          <w:divBdr>
            <w:top w:val="none" w:sz="0" w:space="0" w:color="auto"/>
            <w:left w:val="none" w:sz="0" w:space="0" w:color="auto"/>
            <w:bottom w:val="none" w:sz="0" w:space="0" w:color="auto"/>
            <w:right w:val="none" w:sz="0" w:space="0" w:color="auto"/>
          </w:divBdr>
        </w:div>
        <w:div w:id="729815396">
          <w:marLeft w:val="0"/>
          <w:marRight w:val="0"/>
          <w:marTop w:val="0"/>
          <w:marBottom w:val="0"/>
          <w:divBdr>
            <w:top w:val="none" w:sz="0" w:space="0" w:color="auto"/>
            <w:left w:val="none" w:sz="0" w:space="0" w:color="auto"/>
            <w:bottom w:val="none" w:sz="0" w:space="0" w:color="auto"/>
            <w:right w:val="none" w:sz="0" w:space="0" w:color="auto"/>
          </w:divBdr>
        </w:div>
        <w:div w:id="399136032">
          <w:marLeft w:val="0"/>
          <w:marRight w:val="0"/>
          <w:marTop w:val="0"/>
          <w:marBottom w:val="0"/>
          <w:divBdr>
            <w:top w:val="none" w:sz="0" w:space="0" w:color="auto"/>
            <w:left w:val="none" w:sz="0" w:space="0" w:color="auto"/>
            <w:bottom w:val="none" w:sz="0" w:space="0" w:color="auto"/>
            <w:right w:val="none" w:sz="0" w:space="0" w:color="auto"/>
          </w:divBdr>
        </w:div>
        <w:div w:id="1236814801">
          <w:marLeft w:val="0"/>
          <w:marRight w:val="0"/>
          <w:marTop w:val="0"/>
          <w:marBottom w:val="0"/>
          <w:divBdr>
            <w:top w:val="none" w:sz="0" w:space="0" w:color="auto"/>
            <w:left w:val="none" w:sz="0" w:space="0" w:color="auto"/>
            <w:bottom w:val="none" w:sz="0" w:space="0" w:color="auto"/>
            <w:right w:val="none" w:sz="0" w:space="0" w:color="auto"/>
          </w:divBdr>
        </w:div>
        <w:div w:id="1008750805">
          <w:marLeft w:val="0"/>
          <w:marRight w:val="0"/>
          <w:marTop w:val="0"/>
          <w:marBottom w:val="0"/>
          <w:divBdr>
            <w:top w:val="none" w:sz="0" w:space="0" w:color="auto"/>
            <w:left w:val="none" w:sz="0" w:space="0" w:color="auto"/>
            <w:bottom w:val="none" w:sz="0" w:space="0" w:color="auto"/>
            <w:right w:val="none" w:sz="0" w:space="0" w:color="auto"/>
          </w:divBdr>
        </w:div>
        <w:div w:id="612131496">
          <w:marLeft w:val="0"/>
          <w:marRight w:val="0"/>
          <w:marTop w:val="0"/>
          <w:marBottom w:val="0"/>
          <w:divBdr>
            <w:top w:val="none" w:sz="0" w:space="0" w:color="auto"/>
            <w:left w:val="none" w:sz="0" w:space="0" w:color="auto"/>
            <w:bottom w:val="none" w:sz="0" w:space="0" w:color="auto"/>
            <w:right w:val="none" w:sz="0" w:space="0" w:color="auto"/>
          </w:divBdr>
        </w:div>
      </w:divsChild>
    </w:div>
    <w:div w:id="1802189928">
      <w:bodyDiv w:val="1"/>
      <w:marLeft w:val="0"/>
      <w:marRight w:val="0"/>
      <w:marTop w:val="0"/>
      <w:marBottom w:val="0"/>
      <w:divBdr>
        <w:top w:val="none" w:sz="0" w:space="0" w:color="auto"/>
        <w:left w:val="none" w:sz="0" w:space="0" w:color="auto"/>
        <w:bottom w:val="none" w:sz="0" w:space="0" w:color="auto"/>
        <w:right w:val="none" w:sz="0" w:space="0" w:color="auto"/>
      </w:divBdr>
    </w:div>
    <w:div w:id="1821653543">
      <w:bodyDiv w:val="1"/>
      <w:marLeft w:val="0"/>
      <w:marRight w:val="0"/>
      <w:marTop w:val="0"/>
      <w:marBottom w:val="0"/>
      <w:divBdr>
        <w:top w:val="none" w:sz="0" w:space="0" w:color="auto"/>
        <w:left w:val="none" w:sz="0" w:space="0" w:color="auto"/>
        <w:bottom w:val="none" w:sz="0" w:space="0" w:color="auto"/>
        <w:right w:val="none" w:sz="0" w:space="0" w:color="auto"/>
      </w:divBdr>
    </w:div>
    <w:div w:id="1858155149">
      <w:bodyDiv w:val="1"/>
      <w:marLeft w:val="0"/>
      <w:marRight w:val="0"/>
      <w:marTop w:val="0"/>
      <w:marBottom w:val="0"/>
      <w:divBdr>
        <w:top w:val="none" w:sz="0" w:space="0" w:color="auto"/>
        <w:left w:val="none" w:sz="0" w:space="0" w:color="auto"/>
        <w:bottom w:val="none" w:sz="0" w:space="0" w:color="auto"/>
        <w:right w:val="none" w:sz="0" w:space="0" w:color="auto"/>
      </w:divBdr>
    </w:div>
    <w:div w:id="2106269980">
      <w:bodyDiv w:val="1"/>
      <w:marLeft w:val="0"/>
      <w:marRight w:val="0"/>
      <w:marTop w:val="0"/>
      <w:marBottom w:val="0"/>
      <w:divBdr>
        <w:top w:val="none" w:sz="0" w:space="0" w:color="auto"/>
        <w:left w:val="none" w:sz="0" w:space="0" w:color="auto"/>
        <w:bottom w:val="none" w:sz="0" w:space="0" w:color="auto"/>
        <w:right w:val="none" w:sz="0" w:space="0" w:color="auto"/>
      </w:divBdr>
    </w:div>
    <w:div w:id="21160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L.DLL%3fTekstas=1%3fId=67788&amp;Zd=atlie%252Bveikl%252Bnutrauk%252Bplan&amp;BF=1" TargetMode="External"/><Relationship Id="rId3" Type="http://schemas.openxmlformats.org/officeDocument/2006/relationships/settings" Target="settings.xml"/><Relationship Id="rId7" Type="http://schemas.openxmlformats.org/officeDocument/2006/relationships/hyperlink" Target="http://gamta.lt/cms/index?rubricId=70160852-bcfc-4e18-881e-01868bf61ad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89B0-F53C-43F0-8241-4318BD99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20229</Words>
  <Characters>11532</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Beržinskas</dc:creator>
  <cp:keywords/>
  <dc:description/>
  <cp:lastModifiedBy>Svetlana Ofverstrom</cp:lastModifiedBy>
  <cp:revision>2</cp:revision>
  <dcterms:created xsi:type="dcterms:W3CDTF">2014-11-04T10:47:00Z</dcterms:created>
  <dcterms:modified xsi:type="dcterms:W3CDTF">2014-11-04T10:47:00Z</dcterms:modified>
</cp:coreProperties>
</file>